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672CC746" w:rsidR="00956014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DF52BA" w:rsidRPr="00CD39A7">
        <w:rPr>
          <w:sz w:val="28"/>
        </w:rPr>
        <w:t>»</w:t>
      </w:r>
    </w:p>
    <w:p w14:paraId="414251EB" w14:textId="39A51A17" w:rsidR="00B321B4" w:rsidRPr="00B321B4" w:rsidRDefault="00B321B4" w:rsidP="00B321B4">
      <w:pPr>
        <w:pStyle w:val="Titre"/>
        <w:spacing w:before="0"/>
        <w:jc w:val="center"/>
        <w:rPr>
          <w:b/>
          <w:bCs/>
          <w:color w:val="auto"/>
          <w:sz w:val="28"/>
        </w:rPr>
      </w:pPr>
      <w:r w:rsidRPr="00B321B4">
        <w:rPr>
          <w:b/>
          <w:bCs/>
          <w:color w:val="auto"/>
          <w:sz w:val="28"/>
        </w:rPr>
        <w:t>Gestion des RFC dans l’INVOIC</w:t>
      </w:r>
    </w:p>
    <w:p w14:paraId="3031F759" w14:textId="4C2924CB" w:rsidR="00A20DC2" w:rsidRPr="00944A59" w:rsidRDefault="0086242E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>Mercredi 2 Février</w:t>
      </w:r>
      <w:r w:rsidR="004666F8">
        <w:rPr>
          <w:sz w:val="24"/>
          <w:szCs w:val="48"/>
        </w:rPr>
        <w:t xml:space="preserve"> </w:t>
      </w:r>
      <w:r w:rsidR="00BD51E1">
        <w:rPr>
          <w:sz w:val="24"/>
          <w:szCs w:val="48"/>
        </w:rPr>
        <w:t>202</w:t>
      </w:r>
      <w:r w:rsidR="003E7576">
        <w:rPr>
          <w:sz w:val="24"/>
          <w:szCs w:val="48"/>
        </w:rPr>
        <w:t>2</w:t>
      </w:r>
      <w:r w:rsidR="0080348E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>–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0</w:t>
      </w:r>
      <w:r w:rsidR="007679A9">
        <w:rPr>
          <w:sz w:val="24"/>
          <w:szCs w:val="48"/>
        </w:rPr>
        <w:t>H</w:t>
      </w:r>
      <w:r w:rsidR="00167768">
        <w:rPr>
          <w:sz w:val="24"/>
          <w:szCs w:val="48"/>
        </w:rPr>
        <w:t xml:space="preserve">/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2</w:t>
      </w:r>
      <w:r w:rsidR="00DD4CE4">
        <w:rPr>
          <w:sz w:val="24"/>
          <w:szCs w:val="48"/>
        </w:rPr>
        <w:t>H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402E8CEB" w14:textId="4AA64ADC" w:rsidR="00690EFF" w:rsidRPr="00690EFF" w:rsidRDefault="00690EFF" w:rsidP="00690EFF">
      <w:pPr>
        <w:ind w:left="432"/>
      </w:pPr>
      <w:r w:rsidRPr="00690EFF">
        <w:t>PREPIN Bruno</w:t>
      </w:r>
      <w:r w:rsidRPr="00690EFF">
        <w:tab/>
      </w:r>
      <w:r>
        <w:tab/>
      </w:r>
      <w:r w:rsidR="00B321B4">
        <w:tab/>
      </w:r>
      <w:r w:rsidRPr="00690EFF">
        <w:t>AGRO EDI EUROPE</w:t>
      </w:r>
    </w:p>
    <w:p w14:paraId="5202F6F2" w14:textId="6892C4C4" w:rsidR="00690EFF" w:rsidRDefault="00690EFF" w:rsidP="00690EFF">
      <w:pPr>
        <w:ind w:left="432"/>
      </w:pPr>
      <w:r w:rsidRPr="00690EFF">
        <w:t>BEURET Marie</w:t>
      </w:r>
      <w:r w:rsidRPr="00690EFF">
        <w:tab/>
      </w:r>
      <w:r>
        <w:tab/>
      </w:r>
      <w:r w:rsidR="00B321B4">
        <w:tab/>
      </w:r>
      <w:r w:rsidRPr="00690EFF">
        <w:t>AGRO EDI EUROPE</w:t>
      </w:r>
    </w:p>
    <w:p w14:paraId="45D60ACE" w14:textId="722D7B5F" w:rsidR="00C20B3D" w:rsidRDefault="003F19EA" w:rsidP="00C20B3D">
      <w:pPr>
        <w:ind w:left="432"/>
      </w:pPr>
      <w:r>
        <w:t>BENKEMOUN HOGUET</w:t>
      </w:r>
      <w:r w:rsidRPr="00C20B3D">
        <w:t xml:space="preserve"> </w:t>
      </w:r>
      <w:r w:rsidR="00C20B3D">
        <w:t>Patricia</w:t>
      </w:r>
      <w:r w:rsidR="00B321B4">
        <w:tab/>
        <w:t>CORTEVA</w:t>
      </w:r>
    </w:p>
    <w:p w14:paraId="3F69689D" w14:textId="51335ECD" w:rsidR="00C20B3D" w:rsidRDefault="003F19EA" w:rsidP="00C20B3D">
      <w:pPr>
        <w:ind w:left="432"/>
      </w:pPr>
      <w:r>
        <w:t xml:space="preserve">BLANCHET </w:t>
      </w:r>
      <w:r>
        <w:t>Christine</w:t>
      </w:r>
      <w:r w:rsidR="00B321B4">
        <w:tab/>
      </w:r>
      <w:r w:rsidR="00B321B4">
        <w:tab/>
        <w:t>SYNGENTA</w:t>
      </w:r>
    </w:p>
    <w:p w14:paraId="49DF1877" w14:textId="194DB031" w:rsidR="00C20B3D" w:rsidRDefault="003F19EA" w:rsidP="00C20B3D">
      <w:pPr>
        <w:ind w:left="432"/>
      </w:pPr>
      <w:r>
        <w:t xml:space="preserve">CHOOKNUSKING </w:t>
      </w:r>
      <w:r w:rsidR="00C20B3D">
        <w:t>Seewan</w:t>
      </w:r>
      <w:r w:rsidR="00B321B4">
        <w:tab/>
      </w:r>
      <w:r w:rsidR="00B321B4">
        <w:tab/>
        <w:t>UNION IN VIVO</w:t>
      </w:r>
    </w:p>
    <w:p w14:paraId="0EBA675F" w14:textId="12A92E62" w:rsidR="00C20B3D" w:rsidRDefault="00F60D3C" w:rsidP="00C20B3D">
      <w:pPr>
        <w:ind w:left="432"/>
      </w:pPr>
      <w:r>
        <w:t xml:space="preserve">DELUC </w:t>
      </w:r>
      <w:r w:rsidR="00C20B3D">
        <w:t xml:space="preserve">Nicolas </w:t>
      </w:r>
      <w:r w:rsidR="002C6369">
        <w:tab/>
      </w:r>
      <w:r w:rsidR="002C6369">
        <w:tab/>
      </w:r>
      <w:r w:rsidR="002C6369">
        <w:tab/>
        <w:t>LIMAGRAIN</w:t>
      </w:r>
    </w:p>
    <w:p w14:paraId="201C6EB2" w14:textId="2C74FABF" w:rsidR="00C20B3D" w:rsidRDefault="00F60D3C" w:rsidP="00C20B3D">
      <w:pPr>
        <w:ind w:left="432"/>
      </w:pPr>
      <w:r>
        <w:t xml:space="preserve">FORT </w:t>
      </w:r>
      <w:r w:rsidR="00C20B3D">
        <w:t>Olivi</w:t>
      </w:r>
      <w:r w:rsidR="006A15C7">
        <w:t>a</w:t>
      </w:r>
      <w:r w:rsidR="006A15C7">
        <w:tab/>
      </w:r>
      <w:r w:rsidR="006A15C7">
        <w:tab/>
      </w:r>
      <w:r w:rsidR="006A15C7">
        <w:tab/>
        <w:t>MAISADOUR</w:t>
      </w:r>
    </w:p>
    <w:p w14:paraId="7DCF6B91" w14:textId="2DB499CC" w:rsidR="00C20B3D" w:rsidRDefault="00F60D3C" w:rsidP="00C20B3D">
      <w:pPr>
        <w:ind w:left="432"/>
      </w:pPr>
      <w:r>
        <w:t>GABRIEL</w:t>
      </w:r>
      <w:r>
        <w:t xml:space="preserve"> </w:t>
      </w:r>
      <w:r w:rsidR="00C20B3D">
        <w:t xml:space="preserve">Laurent </w:t>
      </w:r>
      <w:r w:rsidR="00B321B4">
        <w:tab/>
      </w:r>
      <w:r w:rsidR="00B321B4">
        <w:tab/>
      </w:r>
      <w:r w:rsidR="00B321B4">
        <w:tab/>
        <w:t>AXSO</w:t>
      </w:r>
    </w:p>
    <w:p w14:paraId="195E8FC4" w14:textId="2E5C0BA0" w:rsidR="00C20B3D" w:rsidRDefault="00F60D3C" w:rsidP="00C20B3D">
      <w:pPr>
        <w:ind w:left="432"/>
      </w:pPr>
      <w:r>
        <w:t>HENNEQUART</w:t>
      </w:r>
      <w:r>
        <w:t xml:space="preserve"> </w:t>
      </w:r>
      <w:r w:rsidR="00C20B3D">
        <w:t xml:space="preserve">Xavier </w:t>
      </w:r>
      <w:r w:rsidR="00B321B4">
        <w:tab/>
      </w:r>
      <w:r w:rsidR="00B321B4">
        <w:tab/>
        <w:t>SYNGENTA</w:t>
      </w:r>
    </w:p>
    <w:p w14:paraId="5BBE0FDE" w14:textId="48A0E4BE" w:rsidR="00C20B3D" w:rsidRDefault="00F60D3C" w:rsidP="00C20B3D">
      <w:pPr>
        <w:ind w:left="432"/>
      </w:pPr>
      <w:r>
        <w:t>JACOD</w:t>
      </w:r>
      <w:r>
        <w:t xml:space="preserve"> </w:t>
      </w:r>
      <w:r w:rsidR="00C20B3D">
        <w:t>Olivier</w:t>
      </w:r>
      <w:r w:rsidR="00B321B4">
        <w:tab/>
      </w:r>
      <w:r w:rsidR="00B321B4">
        <w:tab/>
      </w:r>
      <w:r w:rsidR="00B321B4">
        <w:tab/>
        <w:t>UNION IN VIVO</w:t>
      </w:r>
    </w:p>
    <w:p w14:paraId="2573A44C" w14:textId="0857CC94" w:rsidR="00C20B3D" w:rsidRDefault="00F60D3C" w:rsidP="00C20B3D">
      <w:pPr>
        <w:ind w:left="432"/>
      </w:pPr>
      <w:r>
        <w:t>CHABANNE</w:t>
      </w:r>
      <w:r>
        <w:t xml:space="preserve"> </w:t>
      </w:r>
      <w:r w:rsidR="00C20B3D">
        <w:t xml:space="preserve">Jérome </w:t>
      </w:r>
      <w:r w:rsidR="00B321B4">
        <w:tab/>
      </w:r>
      <w:r w:rsidR="00B321B4">
        <w:tab/>
        <w:t>BASF</w:t>
      </w:r>
    </w:p>
    <w:p w14:paraId="6072B99F" w14:textId="0A6698E4" w:rsidR="00C20B3D" w:rsidRDefault="00B321B4" w:rsidP="00B321B4">
      <w:pPr>
        <w:ind w:left="432"/>
      </w:pPr>
      <w:r>
        <w:t>CAMARZANA</w:t>
      </w:r>
      <w:r>
        <w:t xml:space="preserve"> </w:t>
      </w:r>
      <w:r w:rsidR="00C20B3D">
        <w:t xml:space="preserve">Joelle </w:t>
      </w:r>
      <w:r>
        <w:tab/>
      </w:r>
      <w:r>
        <w:tab/>
        <w:t>ARTERRIS / AXSO</w:t>
      </w:r>
    </w:p>
    <w:p w14:paraId="2C47E394" w14:textId="2D7B7330" w:rsidR="00C20B3D" w:rsidRDefault="00B321B4" w:rsidP="00B321B4">
      <w:pPr>
        <w:ind w:left="432"/>
      </w:pPr>
      <w:r>
        <w:t>MIGNOTTE</w:t>
      </w:r>
      <w:r>
        <w:t xml:space="preserve"> </w:t>
      </w:r>
      <w:r w:rsidR="00C20B3D">
        <w:t xml:space="preserve">Karine </w:t>
      </w:r>
      <w:r>
        <w:tab/>
      </w:r>
      <w:r>
        <w:tab/>
      </w:r>
      <w:r>
        <w:tab/>
        <w:t>BAYER</w:t>
      </w:r>
    </w:p>
    <w:p w14:paraId="5CF25DEF" w14:textId="3E442700" w:rsidR="00C20B3D" w:rsidRDefault="00C20B3D" w:rsidP="00C20B3D">
      <w:pPr>
        <w:ind w:left="432"/>
      </w:pPr>
      <w:r>
        <w:t>BERDOYES LAFFITE</w:t>
      </w:r>
      <w:r w:rsidR="00B321B4">
        <w:t xml:space="preserve"> </w:t>
      </w:r>
      <w:r w:rsidR="00B321B4">
        <w:t>Laurence</w:t>
      </w:r>
      <w:r w:rsidR="00B321B4">
        <w:tab/>
      </w:r>
      <w:r w:rsidR="00647455">
        <w:t>ACTION PIN</w:t>
      </w:r>
    </w:p>
    <w:p w14:paraId="590A8A5E" w14:textId="443A8FA2" w:rsidR="00C20B3D" w:rsidRDefault="00C20B3D" w:rsidP="00C20B3D">
      <w:pPr>
        <w:ind w:left="432"/>
      </w:pPr>
      <w:r>
        <w:t>LEPAPE</w:t>
      </w:r>
      <w:r w:rsidR="00B321B4">
        <w:t xml:space="preserve"> </w:t>
      </w:r>
      <w:r w:rsidR="00B321B4">
        <w:t>Gilles</w:t>
      </w:r>
      <w:r w:rsidR="00B321B4">
        <w:tab/>
      </w:r>
      <w:r w:rsidR="00B321B4">
        <w:tab/>
      </w:r>
      <w:r w:rsidR="00B321B4">
        <w:tab/>
      </w:r>
      <w:r w:rsidR="00DD7450">
        <w:t>TERRENA</w:t>
      </w:r>
    </w:p>
    <w:p w14:paraId="046B0B3F" w14:textId="32023528" w:rsidR="00C20B3D" w:rsidRDefault="00C20B3D" w:rsidP="00C20B3D">
      <w:pPr>
        <w:ind w:left="432"/>
      </w:pPr>
      <w:r>
        <w:t>CHIRON</w:t>
      </w:r>
      <w:r w:rsidR="00B321B4">
        <w:t xml:space="preserve"> </w:t>
      </w:r>
      <w:r w:rsidR="00B321B4">
        <w:t>Lucie</w:t>
      </w:r>
      <w:r w:rsidR="00DD7450">
        <w:tab/>
      </w:r>
      <w:r w:rsidR="00DD7450">
        <w:tab/>
      </w:r>
      <w:r w:rsidR="00DD7450">
        <w:tab/>
        <w:t>OMYA</w:t>
      </w:r>
    </w:p>
    <w:p w14:paraId="199B3439" w14:textId="011836A8" w:rsidR="00C20B3D" w:rsidRDefault="00C20B3D" w:rsidP="00C20B3D">
      <w:pPr>
        <w:ind w:left="432"/>
      </w:pPr>
      <w:r>
        <w:t>MANETTI</w:t>
      </w:r>
      <w:r w:rsidR="00B321B4">
        <w:t xml:space="preserve"> </w:t>
      </w:r>
      <w:r w:rsidR="00B321B4">
        <w:t>Vanessa</w:t>
      </w:r>
      <w:r w:rsidR="00DD7450">
        <w:tab/>
      </w:r>
      <w:r w:rsidR="00DD7450">
        <w:tab/>
      </w:r>
      <w:r w:rsidR="00DD7450">
        <w:tab/>
        <w:t>KWS</w:t>
      </w:r>
    </w:p>
    <w:p w14:paraId="722F3B5B" w14:textId="661166A9" w:rsidR="00C20B3D" w:rsidRDefault="00C20B3D" w:rsidP="00C20B3D">
      <w:pPr>
        <w:ind w:left="432"/>
      </w:pPr>
      <w:r>
        <w:t>MELLE</w:t>
      </w:r>
      <w:r w:rsidR="00B321B4">
        <w:t xml:space="preserve"> </w:t>
      </w:r>
      <w:r w:rsidR="00B321B4">
        <w:t>Nelly</w:t>
      </w:r>
      <w:r w:rsidR="00DD7450">
        <w:tab/>
      </w:r>
      <w:r w:rsidR="00DD7450">
        <w:tab/>
      </w:r>
      <w:r w:rsidR="00DD7450">
        <w:tab/>
        <w:t>KWS</w:t>
      </w:r>
    </w:p>
    <w:p w14:paraId="19050B4C" w14:textId="6C9B1EFB" w:rsidR="00C20B3D" w:rsidRDefault="00C20B3D" w:rsidP="00C20B3D">
      <w:pPr>
        <w:ind w:left="432"/>
      </w:pPr>
      <w:r>
        <w:t>RUIZ</w:t>
      </w:r>
      <w:r w:rsidR="00B321B4">
        <w:t xml:space="preserve"> </w:t>
      </w:r>
      <w:r w:rsidR="00B321B4">
        <w:t>Philippe</w:t>
      </w:r>
      <w:r w:rsidR="00DD7450">
        <w:tab/>
      </w:r>
      <w:r w:rsidR="00DD7450">
        <w:tab/>
      </w:r>
      <w:r w:rsidR="00DD7450">
        <w:tab/>
      </w:r>
      <w:r w:rsidR="006865E4">
        <w:t>RAGT</w:t>
      </w:r>
    </w:p>
    <w:p w14:paraId="718F1230" w14:textId="59267DF8" w:rsidR="00C20B3D" w:rsidRDefault="00C20B3D" w:rsidP="00C20B3D">
      <w:pPr>
        <w:ind w:left="432"/>
      </w:pPr>
      <w:r>
        <w:t>LHEURE</w:t>
      </w:r>
      <w:r w:rsidR="00B321B4">
        <w:t xml:space="preserve"> </w:t>
      </w:r>
      <w:r w:rsidR="00B321B4">
        <w:t>Remi</w:t>
      </w:r>
      <w:r w:rsidR="00D15F38">
        <w:tab/>
      </w:r>
      <w:r w:rsidR="00D15F38">
        <w:tab/>
      </w:r>
      <w:r w:rsidR="00D15F38">
        <w:tab/>
        <w:t>SUMI AGRO</w:t>
      </w:r>
    </w:p>
    <w:p w14:paraId="18B9A264" w14:textId="2BB07BA6" w:rsidR="00C20B3D" w:rsidRDefault="00C20B3D" w:rsidP="00C20B3D">
      <w:pPr>
        <w:ind w:left="432"/>
      </w:pPr>
      <w:r>
        <w:t>LAVIER</w:t>
      </w:r>
      <w:r w:rsidR="00B321B4">
        <w:t xml:space="preserve"> </w:t>
      </w:r>
      <w:r w:rsidR="00B321B4">
        <w:t>Sylvain</w:t>
      </w:r>
      <w:r w:rsidR="00DD7450">
        <w:tab/>
      </w:r>
      <w:r w:rsidR="00DD7450">
        <w:tab/>
      </w:r>
      <w:r w:rsidR="00DD7450">
        <w:tab/>
        <w:t>EURO EDI</w:t>
      </w:r>
    </w:p>
    <w:p w14:paraId="24979FFC" w14:textId="2E3E6091" w:rsidR="00C20B3D" w:rsidRDefault="00C20B3D" w:rsidP="00C20B3D">
      <w:pPr>
        <w:ind w:left="432"/>
      </w:pPr>
      <w:r>
        <w:t>PREPIN</w:t>
      </w:r>
      <w:r w:rsidR="00B321B4">
        <w:t xml:space="preserve"> </w:t>
      </w:r>
      <w:r w:rsidR="00B321B4">
        <w:t>Bruno</w:t>
      </w:r>
      <w:r w:rsidR="00DD7450">
        <w:tab/>
      </w:r>
      <w:r w:rsidR="00DD7450">
        <w:tab/>
      </w:r>
      <w:r w:rsidR="00DD7450">
        <w:tab/>
        <w:t>AGRO EDI EUROPE</w:t>
      </w:r>
    </w:p>
    <w:p w14:paraId="67E14F3A" w14:textId="4AB0FCF7" w:rsidR="00C20B3D" w:rsidRDefault="00C20B3D" w:rsidP="00C20B3D">
      <w:pPr>
        <w:ind w:left="432"/>
      </w:pPr>
      <w:r>
        <w:t>BEURET</w:t>
      </w:r>
      <w:r w:rsidR="00B321B4">
        <w:t xml:space="preserve"> </w:t>
      </w:r>
      <w:r w:rsidR="00B321B4">
        <w:t>Marie</w:t>
      </w:r>
      <w:r w:rsidR="00DD7450">
        <w:tab/>
      </w:r>
      <w:r w:rsidR="00DD7450">
        <w:tab/>
      </w:r>
      <w:r w:rsidR="00DD7450">
        <w:tab/>
        <w:t>AGRO EDI EUROPE</w:t>
      </w:r>
    </w:p>
    <w:p w14:paraId="453CBAC6" w14:textId="2A30B77A" w:rsidR="00C20B3D" w:rsidRPr="00690EFF" w:rsidRDefault="00D2406F" w:rsidP="00D2406F">
      <w:pPr>
        <w:tabs>
          <w:tab w:val="left" w:pos="1790"/>
        </w:tabs>
        <w:ind w:left="432"/>
      </w:pPr>
      <w:r>
        <w:tab/>
      </w:r>
    </w:p>
    <w:p w14:paraId="58566BD7" w14:textId="4DD08189" w:rsidR="00C417C0" w:rsidRPr="00C142F5" w:rsidRDefault="00C417C0" w:rsidP="00690EFF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2632DB99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Présentation </w:t>
      </w:r>
      <w:proofErr w:type="spellStart"/>
      <w:r>
        <w:rPr>
          <w:lang w:eastAsia="fr-FR" w:bidi="ar-SA"/>
        </w:rPr>
        <w:t>ppt</w:t>
      </w:r>
      <w:proofErr w:type="spellEnd"/>
      <w:r>
        <w:rPr>
          <w:lang w:eastAsia="fr-FR" w:bidi="ar-SA"/>
        </w:rPr>
        <w:t xml:space="preserve"> de la séance</w:t>
      </w:r>
    </w:p>
    <w:p w14:paraId="6F5D2937" w14:textId="77777777" w:rsidR="00842D5F" w:rsidRDefault="00842D5F" w:rsidP="003F2DAB">
      <w:pPr>
        <w:rPr>
          <w:lang w:eastAsia="fr-FR" w:bidi="ar-SA"/>
        </w:rPr>
      </w:pPr>
    </w:p>
    <w:p w14:paraId="002B7653" w14:textId="77777777" w:rsidR="00A43DF6" w:rsidRDefault="00A43DF6">
      <w:pPr>
        <w:spacing w:before="0" w:after="0"/>
        <w:jc w:val="left"/>
        <w:rPr>
          <w:rStyle w:val="Lienhypertexte"/>
          <w:lang w:eastAsia="fr-FR" w:bidi="ar-SA"/>
        </w:rPr>
      </w:pPr>
      <w:r>
        <w:rPr>
          <w:rStyle w:val="Lienhypertexte"/>
          <w:lang w:eastAsia="fr-FR" w:bidi="ar-SA"/>
        </w:rPr>
        <w:br w:type="page"/>
      </w: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p w14:paraId="37A53858" w14:textId="02C7ACE8" w:rsidR="00AD23B0" w:rsidRDefault="00220C22" w:rsidP="00220C22">
      <w:pPr>
        <w:pStyle w:val="Titre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75C66394" w14:textId="55B059C5" w:rsidR="004F7057" w:rsidRDefault="004340E2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Historique RFC</w:t>
      </w:r>
      <w:r w:rsidR="00A71FE7">
        <w:rPr>
          <w:rFonts w:eastAsiaTheme="minorEastAsia"/>
        </w:rPr>
        <w:t xml:space="preserve"> et INVOIC</w:t>
      </w:r>
    </w:p>
    <w:p w14:paraId="6E23F29F" w14:textId="79F3EE08" w:rsidR="00D2184C" w:rsidRPr="004F7057" w:rsidRDefault="00D2184C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Discussion</w:t>
      </w:r>
    </w:p>
    <w:p w14:paraId="0EEEB6CD" w14:textId="58B2B00B" w:rsidR="00E36597" w:rsidRDefault="004042A5" w:rsidP="00E36597">
      <w:pPr>
        <w:pStyle w:val="Titre1"/>
        <w:rPr>
          <w:rFonts w:eastAsiaTheme="minorEastAsia"/>
        </w:rPr>
      </w:pPr>
      <w:r>
        <w:rPr>
          <w:rFonts w:eastAsiaTheme="minorEastAsia"/>
        </w:rPr>
        <w:t xml:space="preserve">Historique </w:t>
      </w:r>
      <w:r w:rsidR="00A96707">
        <w:rPr>
          <w:rFonts w:eastAsiaTheme="minorEastAsia"/>
        </w:rPr>
        <w:t>RFC et INVOIC</w:t>
      </w:r>
    </w:p>
    <w:p w14:paraId="2C616AC7" w14:textId="08AFD602" w:rsidR="0079049F" w:rsidRDefault="0079049F" w:rsidP="0079049F">
      <w:pPr>
        <w:pStyle w:val="Titre2"/>
        <w:rPr>
          <w:rFonts w:eastAsiaTheme="minorEastAsia"/>
        </w:rPr>
      </w:pPr>
      <w:r>
        <w:rPr>
          <w:rFonts w:eastAsiaTheme="minorEastAsia"/>
        </w:rPr>
        <w:t>Historique</w:t>
      </w:r>
    </w:p>
    <w:p w14:paraId="27BC2A57" w14:textId="2B425FC9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b/>
          <w:bCs/>
          <w:lang w:eastAsia="fr-FR" w:bidi="ar-SA"/>
        </w:rPr>
        <w:t xml:space="preserve">2011 </w:t>
      </w:r>
    </w:p>
    <w:p w14:paraId="78B10586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>Ajout du chapitre sur la gestion des RFC dans le GU</w:t>
      </w:r>
    </w:p>
    <w:p w14:paraId="3A2DCF2E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b/>
          <w:bCs/>
          <w:lang w:eastAsia="fr-FR" w:bidi="ar-SA"/>
        </w:rPr>
        <w:t xml:space="preserve">2013 </w:t>
      </w:r>
    </w:p>
    <w:p w14:paraId="0A71E7F6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>Ajout de précisions sur la gestion des RFC : Hors scope EDI dans un premier temps.</w:t>
      </w:r>
    </w:p>
    <w:p w14:paraId="4EDC9073" w14:textId="39AD5AC4" w:rsidR="005531D6" w:rsidRPr="005531D6" w:rsidRDefault="005531D6" w:rsidP="005531D6">
      <w:pPr>
        <w:numPr>
          <w:ilvl w:val="0"/>
          <w:numId w:val="11"/>
        </w:num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 xml:space="preserve">Suppression de la mention « hors cadre </w:t>
      </w:r>
      <w:proofErr w:type="spellStart"/>
      <w:r w:rsidRPr="005531D6">
        <w:rPr>
          <w:rFonts w:eastAsiaTheme="minorEastAsia"/>
          <w:lang w:eastAsia="fr-FR" w:bidi="ar-SA"/>
        </w:rPr>
        <w:t>démat</w:t>
      </w:r>
      <w:proofErr w:type="spellEnd"/>
      <w:r w:rsidRPr="005531D6">
        <w:rPr>
          <w:rFonts w:eastAsiaTheme="minorEastAsia"/>
          <w:lang w:eastAsia="fr-FR" w:bidi="ar-SA"/>
        </w:rPr>
        <w:t xml:space="preserve"> » - choix à définir dans ‘accord bilatéral entre partenaires. </w:t>
      </w:r>
    </w:p>
    <w:p w14:paraId="7E9E5B93" w14:textId="77777777" w:rsidR="005531D6" w:rsidRPr="005531D6" w:rsidRDefault="005531D6" w:rsidP="005531D6">
      <w:pPr>
        <w:numPr>
          <w:ilvl w:val="0"/>
          <w:numId w:val="11"/>
        </w:num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>La dématérialisation des RFC, étudiée ce jour, sera détaillée dans une nouvelle version du GU AEE_INVOIC_draft_V4.0</w:t>
      </w:r>
    </w:p>
    <w:p w14:paraId="1C2C0167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b/>
          <w:bCs/>
          <w:lang w:eastAsia="fr-FR" w:bidi="ar-SA"/>
        </w:rPr>
        <w:t>2018</w:t>
      </w:r>
    </w:p>
    <w:p w14:paraId="5F3E8E94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 xml:space="preserve">Ajout de Précisions sur les RFC : </w:t>
      </w:r>
    </w:p>
    <w:p w14:paraId="7DF0AC83" w14:textId="77777777" w:rsidR="005531D6" w:rsidRPr="005531D6" w:rsidRDefault="005531D6" w:rsidP="005531D6">
      <w:pPr>
        <w:numPr>
          <w:ilvl w:val="0"/>
          <w:numId w:val="12"/>
        </w:num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>Entête (DTM) : Il faut indiquer une période de facturation (DTM + 263 et qualifiant 718) et une période de validité (DTM + 273 et qualifiant 718)</w:t>
      </w:r>
    </w:p>
    <w:p w14:paraId="15171B3F" w14:textId="77777777" w:rsidR="005531D6" w:rsidRPr="005531D6" w:rsidRDefault="005531D6" w:rsidP="005531D6">
      <w:pPr>
        <w:numPr>
          <w:ilvl w:val="0"/>
          <w:numId w:val="12"/>
        </w:num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 xml:space="preserve">A la ligne (QTY  </w:t>
      </w:r>
      <w:proofErr w:type="spellStart"/>
      <w:r w:rsidRPr="005531D6">
        <w:rPr>
          <w:rFonts w:eastAsiaTheme="minorEastAsia"/>
          <w:lang w:eastAsia="fr-FR" w:bidi="ar-SA"/>
        </w:rPr>
        <w:t>Grp</w:t>
      </w:r>
      <w:proofErr w:type="spellEnd"/>
      <w:r w:rsidRPr="005531D6">
        <w:rPr>
          <w:rFonts w:eastAsiaTheme="minorEastAsia"/>
          <w:lang w:eastAsia="fr-FR" w:bidi="ar-SA"/>
        </w:rPr>
        <w:t xml:space="preserve"> 25) : Si on est dans le cas d’un avoir financier (BGM : 381) - indiquer la quantité sur laquelle porte l’avoir financier (ex pour un avoir de ristourne, il faut indiquer dans la quantité facturée la quantité sur laquelle porte la ristourne : code 3 : </w:t>
      </w:r>
    </w:p>
    <w:p w14:paraId="327D0AE4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>Si le fournisseur veut exprimer la quantité globale de produit sur laquelle porte son avoir, il devra bien spécifier le type de document dans le segment ALI.</w:t>
      </w:r>
    </w:p>
    <w:p w14:paraId="02179FDA" w14:textId="77777777" w:rsidR="005531D6" w:rsidRPr="005531D6" w:rsidRDefault="005531D6" w:rsidP="005531D6">
      <w:pPr>
        <w:rPr>
          <w:rFonts w:eastAsiaTheme="minorEastAsia"/>
          <w:lang w:eastAsia="fr-FR" w:bidi="ar-SA"/>
        </w:rPr>
      </w:pPr>
      <w:r w:rsidRPr="005531D6">
        <w:rPr>
          <w:rFonts w:eastAsiaTheme="minorEastAsia"/>
          <w:lang w:eastAsia="fr-FR" w:bidi="ar-SA"/>
        </w:rPr>
        <w:t xml:space="preserve">Pour l’avoir de RFC, en cas de retour de produit, la quantité peut être négative </w:t>
      </w:r>
    </w:p>
    <w:p w14:paraId="76FD111C" w14:textId="3E43B2EB" w:rsidR="00A96707" w:rsidRPr="005531D6" w:rsidRDefault="005531D6" w:rsidP="00A96707">
      <w:pPr>
        <w:rPr>
          <w:rFonts w:eastAsiaTheme="minorEastAsia"/>
          <w:b/>
          <w:bCs/>
          <w:lang w:eastAsia="fr-FR" w:bidi="ar-SA"/>
        </w:rPr>
      </w:pPr>
      <w:r w:rsidRPr="005531D6">
        <w:rPr>
          <w:rFonts w:eastAsiaTheme="minorEastAsia"/>
          <w:b/>
          <w:bCs/>
          <w:lang w:eastAsia="fr-FR" w:bidi="ar-SA"/>
        </w:rPr>
        <w:t>2021</w:t>
      </w:r>
    </w:p>
    <w:p w14:paraId="49FDD426" w14:textId="34F7711D" w:rsidR="00D2406F" w:rsidRDefault="005531D6" w:rsidP="00A96707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Ajout d’une recommandation sur les signes des montants dans l’INVOIC notamment pour répondre à une problématique rencontrée dans la gestion de RFC</w:t>
      </w:r>
    </w:p>
    <w:p w14:paraId="13BB43CC" w14:textId="77777777" w:rsidR="00D2406F" w:rsidRDefault="00D2406F">
      <w:pPr>
        <w:spacing w:before="0" w:after="0"/>
        <w:jc w:val="left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br w:type="page"/>
      </w:r>
    </w:p>
    <w:p w14:paraId="32CF5652" w14:textId="0E38FA8A" w:rsidR="0079049F" w:rsidRDefault="0079049F" w:rsidP="0079049F">
      <w:pPr>
        <w:pStyle w:val="Titre2"/>
        <w:rPr>
          <w:rFonts w:eastAsiaTheme="minorEastAsia"/>
        </w:rPr>
      </w:pPr>
      <w:r>
        <w:rPr>
          <w:rFonts w:eastAsiaTheme="minorEastAsia"/>
        </w:rPr>
        <w:lastRenderedPageBreak/>
        <w:t>Autres mentions des RFC dans le guide INVOIC</w:t>
      </w:r>
    </w:p>
    <w:p w14:paraId="6CA10E7B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b/>
          <w:bCs/>
          <w:lang w:eastAsia="fr-FR" w:bidi="ar-SA"/>
        </w:rPr>
        <w:t>En tête (ALI)</w:t>
      </w:r>
    </w:p>
    <w:p w14:paraId="79B57CF1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>Règles de gestion sur les acomptes RFC : Deux règles de gestion sont proposées :</w:t>
      </w:r>
    </w:p>
    <w:p w14:paraId="428717EC" w14:textId="77777777" w:rsidR="0079049F" w:rsidRPr="0079049F" w:rsidRDefault="0079049F" w:rsidP="0079049F">
      <w:pPr>
        <w:numPr>
          <w:ilvl w:val="0"/>
          <w:numId w:val="13"/>
        </w:num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>L’acompte est considéré comme une avance financière – une ligne sans détail (code FRF)</w:t>
      </w:r>
    </w:p>
    <w:p w14:paraId="53AD81A4" w14:textId="77777777" w:rsidR="0079049F" w:rsidRPr="0079049F" w:rsidRDefault="0079049F" w:rsidP="0079049F">
      <w:pPr>
        <w:numPr>
          <w:ilvl w:val="0"/>
          <w:numId w:val="13"/>
        </w:num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 xml:space="preserve">L’acompte est considéré comme une avance de RFC (code RFC) – un avoir avec le détail par produit : Montant de base, pourcentage, montant de RFC ou Montant de base, quantité, montant unitaire de RFC et montant de RFC </w:t>
      </w:r>
    </w:p>
    <w:p w14:paraId="4253404D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>L’utilisation de l’une ou l’autre de ces règles sera décidée entre les partenaires de l’échange dans l’accord d’interchange.</w:t>
      </w:r>
    </w:p>
    <w:p w14:paraId="0ED6AE01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b/>
          <w:bCs/>
          <w:lang w:eastAsia="fr-FR" w:bidi="ar-SA"/>
        </w:rPr>
        <w:t>En tête (FTX)</w:t>
      </w:r>
    </w:p>
    <w:p w14:paraId="5CDE22A5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>Si ALI = RFC : Indiquer la période de validité de date début à date de fin (Code AAI)</w:t>
      </w:r>
    </w:p>
    <w:p w14:paraId="50E3FC51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b/>
          <w:bCs/>
          <w:lang w:eastAsia="fr-FR" w:bidi="ar-SA"/>
        </w:rPr>
        <w:t>(GR 25 ALI)</w:t>
      </w:r>
    </w:p>
    <w:p w14:paraId="55538A3D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 xml:space="preserve">Règle de gestion sur les acomptes RFC : L’acompte est considéré comme une avance de RFC (code RFC) – un avoir avec le détail par produit : Montant de base, pourcentage, montant de RFC ou  Montant de base, quantité, montant unitaire de RFC et montant de RFC </w:t>
      </w:r>
    </w:p>
    <w:p w14:paraId="00EB25B3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b/>
          <w:bCs/>
          <w:lang w:eastAsia="fr-FR" w:bidi="ar-SA"/>
        </w:rPr>
        <w:t>(GR26 MOA)</w:t>
      </w:r>
    </w:p>
    <w:p w14:paraId="5811E7D8" w14:textId="77777777" w:rsidR="0079049F" w:rsidRPr="0079049F" w:rsidRDefault="0079049F" w:rsidP="0079049F">
      <w:p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 xml:space="preserve">Code à utiliser dans le cas d’un avoir de RFC :  </w:t>
      </w:r>
    </w:p>
    <w:p w14:paraId="41F81C91" w14:textId="77777777" w:rsidR="0079049F" w:rsidRPr="0079049F" w:rsidRDefault="0079049F" w:rsidP="0079049F">
      <w:pPr>
        <w:numPr>
          <w:ilvl w:val="0"/>
          <w:numId w:val="14"/>
        </w:num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>203 : Montant de la ristourne versée</w:t>
      </w:r>
    </w:p>
    <w:p w14:paraId="666CB679" w14:textId="77777777" w:rsidR="0079049F" w:rsidRPr="0079049F" w:rsidRDefault="0079049F" w:rsidP="0079049F">
      <w:pPr>
        <w:numPr>
          <w:ilvl w:val="0"/>
          <w:numId w:val="14"/>
        </w:numPr>
        <w:rPr>
          <w:rFonts w:eastAsiaTheme="minorEastAsia"/>
          <w:lang w:eastAsia="fr-FR" w:bidi="ar-SA"/>
        </w:rPr>
      </w:pPr>
      <w:r w:rsidRPr="0079049F">
        <w:rPr>
          <w:rFonts w:eastAsiaTheme="minorEastAsia"/>
          <w:lang w:eastAsia="fr-FR" w:bidi="ar-SA"/>
        </w:rPr>
        <w:t xml:space="preserve">25 : Montant total HT sur lequel s’applique la ristourne </w:t>
      </w:r>
    </w:p>
    <w:p w14:paraId="5E2FB194" w14:textId="4E7BFE70" w:rsidR="005531D6" w:rsidRDefault="001208B3" w:rsidP="001208B3">
      <w:pPr>
        <w:pStyle w:val="Titre1"/>
        <w:rPr>
          <w:rFonts w:eastAsiaTheme="minorEastAsia"/>
        </w:rPr>
      </w:pPr>
      <w:r>
        <w:rPr>
          <w:rFonts w:eastAsiaTheme="minorEastAsia"/>
        </w:rPr>
        <w:t>Discussion</w:t>
      </w:r>
    </w:p>
    <w:p w14:paraId="7639FB1B" w14:textId="1DB89BCA" w:rsidR="0018089B" w:rsidRDefault="00B55899" w:rsidP="0018089B">
      <w:pPr>
        <w:pStyle w:val="Titre2"/>
        <w:rPr>
          <w:rFonts w:eastAsiaTheme="minorEastAsia"/>
        </w:rPr>
      </w:pPr>
      <w:r>
        <w:rPr>
          <w:rFonts w:eastAsiaTheme="minorEastAsia"/>
        </w:rPr>
        <w:t>Contexte</w:t>
      </w:r>
    </w:p>
    <w:p w14:paraId="2FF550E9" w14:textId="7234FF7B" w:rsidR="00D159AF" w:rsidRPr="00784C83" w:rsidRDefault="00E46E0F" w:rsidP="001208B3">
      <w:r>
        <w:rPr>
          <w:rFonts w:eastAsiaTheme="minorEastAsia"/>
          <w:lang w:eastAsia="fr-FR" w:bidi="ar-SA"/>
        </w:rPr>
        <w:t xml:space="preserve">Les fournisseurs émettent des </w:t>
      </w:r>
      <w:r w:rsidR="00184304">
        <w:rPr>
          <w:rFonts w:eastAsiaTheme="minorEastAsia"/>
          <w:lang w:eastAsia="fr-FR" w:bidi="ar-SA"/>
        </w:rPr>
        <w:t>avoirs de RFC</w:t>
      </w:r>
      <w:r w:rsidR="00D159AF">
        <w:rPr>
          <w:rFonts w:eastAsiaTheme="minorEastAsia"/>
          <w:lang w:eastAsia="fr-FR" w:bidi="ar-SA"/>
        </w:rPr>
        <w:t> </w:t>
      </w:r>
      <w:r w:rsidR="00184304">
        <w:rPr>
          <w:rFonts w:eastAsiaTheme="minorEastAsia"/>
          <w:lang w:eastAsia="fr-FR" w:bidi="ar-SA"/>
        </w:rPr>
        <w:t>(Re</w:t>
      </w:r>
      <w:r w:rsidR="009C65E6">
        <w:rPr>
          <w:rFonts w:eastAsiaTheme="minorEastAsia"/>
          <w:lang w:eastAsia="fr-FR" w:bidi="ar-SA"/>
        </w:rPr>
        <w:t xml:space="preserve">mises de </w:t>
      </w:r>
      <w:r w:rsidR="00184304">
        <w:rPr>
          <w:rFonts w:eastAsiaTheme="minorEastAsia"/>
          <w:lang w:eastAsia="fr-FR" w:bidi="ar-SA"/>
        </w:rPr>
        <w:t>F</w:t>
      </w:r>
      <w:r w:rsidR="009C65E6">
        <w:rPr>
          <w:rFonts w:eastAsiaTheme="minorEastAsia"/>
          <w:lang w:eastAsia="fr-FR" w:bidi="ar-SA"/>
        </w:rPr>
        <w:t xml:space="preserve">in de </w:t>
      </w:r>
      <w:r w:rsidR="00184304">
        <w:rPr>
          <w:rFonts w:eastAsiaTheme="minorEastAsia"/>
          <w:lang w:eastAsia="fr-FR" w:bidi="ar-SA"/>
        </w:rPr>
        <w:t>C</w:t>
      </w:r>
      <w:r w:rsidR="009C65E6">
        <w:rPr>
          <w:rFonts w:eastAsiaTheme="minorEastAsia"/>
          <w:lang w:eastAsia="fr-FR" w:bidi="ar-SA"/>
        </w:rPr>
        <w:t>ampagne</w:t>
      </w:r>
      <w:r w:rsidR="00184304">
        <w:rPr>
          <w:rFonts w:eastAsiaTheme="minorEastAsia"/>
          <w:lang w:eastAsia="fr-FR" w:bidi="ar-SA"/>
        </w:rPr>
        <w:t>)</w:t>
      </w:r>
      <w:r w:rsidR="00A669FF">
        <w:rPr>
          <w:rFonts w:eastAsiaTheme="minorEastAsia"/>
          <w:lang w:eastAsia="fr-FR" w:bidi="ar-SA"/>
        </w:rPr>
        <w:t xml:space="preserve"> à destination de leurs clients</w:t>
      </w:r>
      <w:r w:rsidR="00D9097D">
        <w:rPr>
          <w:rFonts w:eastAsiaTheme="minorEastAsia"/>
          <w:lang w:eastAsia="fr-FR" w:bidi="ar-SA"/>
        </w:rPr>
        <w:t>. Les m</w:t>
      </w:r>
      <w:r w:rsidR="00D159AF">
        <w:rPr>
          <w:rFonts w:eastAsiaTheme="minorEastAsia"/>
          <w:lang w:eastAsia="fr-FR" w:bidi="ar-SA"/>
        </w:rPr>
        <w:t>otifs possibles de RFC </w:t>
      </w:r>
      <w:r w:rsidR="00D9097D">
        <w:rPr>
          <w:rFonts w:eastAsiaTheme="minorEastAsia"/>
          <w:lang w:eastAsia="fr-FR" w:bidi="ar-SA"/>
        </w:rPr>
        <w:t>sont</w:t>
      </w:r>
      <w:r w:rsidR="00B474E9">
        <w:rPr>
          <w:rFonts w:eastAsiaTheme="minorEastAsia"/>
          <w:lang w:eastAsia="fr-FR" w:bidi="ar-SA"/>
        </w:rPr>
        <w:t xml:space="preserve"> : un certain </w:t>
      </w:r>
      <w:r w:rsidR="00B474E9">
        <w:t xml:space="preserve">chiffre d’affaires atteint, </w:t>
      </w:r>
      <w:r w:rsidR="00B474E9">
        <w:t xml:space="preserve">un </w:t>
      </w:r>
      <w:r w:rsidR="00B474E9">
        <w:t>pourcentage/</w:t>
      </w:r>
      <w:r w:rsidR="00B474E9">
        <w:t xml:space="preserve"> une </w:t>
      </w:r>
      <w:r w:rsidR="00B474E9">
        <w:t>quantité de produits retourné</w:t>
      </w:r>
      <w:r w:rsidR="00B474E9">
        <w:t>s</w:t>
      </w:r>
      <w:r w:rsidR="00B474E9">
        <w:t>, quantité suffisante vendue</w:t>
      </w:r>
      <w:r w:rsidR="00B474E9">
        <w:t xml:space="preserve">, etc. Ces motifs et les conditions sont </w:t>
      </w:r>
      <w:r w:rsidR="009C10E0">
        <w:t>définis</w:t>
      </w:r>
      <w:r w:rsidR="00B474E9">
        <w:t xml:space="preserve"> entre le vendeur et l’acheteur </w:t>
      </w:r>
      <w:r w:rsidR="00047808">
        <w:t>et peuvent être définies dans un contrat</w:t>
      </w:r>
      <w:r w:rsidR="006204A0">
        <w:t xml:space="preserve"> pour chaque campagne</w:t>
      </w:r>
      <w:r w:rsidR="009C10E0">
        <w:t>. Les conditions de RFC</w:t>
      </w:r>
      <w:r w:rsidR="006204A0">
        <w:t xml:space="preserve"> peuvent être </w:t>
      </w:r>
      <w:r w:rsidR="00040D01">
        <w:t>revues en cours de campagne dans certains cas.</w:t>
      </w:r>
    </w:p>
    <w:p w14:paraId="7CE0441C" w14:textId="59440C05" w:rsidR="00AC3CB5" w:rsidRDefault="00FE02CB" w:rsidP="00D43ECF">
      <w:pPr>
        <w:pStyle w:val="Titre2"/>
        <w:rPr>
          <w:rFonts w:eastAsiaTheme="minorEastAsia"/>
        </w:rPr>
      </w:pPr>
      <w:r>
        <w:rPr>
          <w:rFonts w:eastAsiaTheme="minorEastAsia"/>
        </w:rPr>
        <w:t>Problématiques</w:t>
      </w:r>
    </w:p>
    <w:p w14:paraId="04818F18" w14:textId="1C494CAC" w:rsidR="008F5B72" w:rsidRDefault="00C75272" w:rsidP="008F5B72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</w:t>
      </w:r>
      <w:r>
        <w:rPr>
          <w:rFonts w:eastAsiaTheme="minorEastAsia"/>
          <w:lang w:eastAsia="fr-FR" w:bidi="ar-SA"/>
        </w:rPr>
        <w:t xml:space="preserve">e document fiscal (facture/avoir) </w:t>
      </w:r>
      <w:r w:rsidR="0029580E">
        <w:rPr>
          <w:rFonts w:eastAsiaTheme="minorEastAsia"/>
          <w:lang w:eastAsia="fr-FR" w:bidi="ar-SA"/>
        </w:rPr>
        <w:t xml:space="preserve">pour les RFC </w:t>
      </w:r>
      <w:r>
        <w:rPr>
          <w:rFonts w:eastAsiaTheme="minorEastAsia"/>
          <w:lang w:eastAsia="fr-FR" w:bidi="ar-SA"/>
        </w:rPr>
        <w:t xml:space="preserve">doit </w:t>
      </w:r>
      <w:r>
        <w:rPr>
          <w:rFonts w:eastAsiaTheme="minorEastAsia"/>
          <w:lang w:eastAsia="fr-FR" w:bidi="ar-SA"/>
        </w:rPr>
        <w:t xml:space="preserve">contenir les </w:t>
      </w:r>
      <w:r w:rsidR="00181F4F">
        <w:rPr>
          <w:rFonts w:eastAsiaTheme="minorEastAsia"/>
          <w:lang w:eastAsia="fr-FR" w:bidi="ar-SA"/>
        </w:rPr>
        <w:t>mentions obligatoires selon l</w:t>
      </w:r>
      <w:r w:rsidR="003558DD">
        <w:rPr>
          <w:rFonts w:eastAsiaTheme="minorEastAsia"/>
          <w:lang w:eastAsia="fr-FR" w:bidi="ar-SA"/>
        </w:rPr>
        <w:t>es</w:t>
      </w:r>
      <w:r w:rsidR="00181F4F">
        <w:rPr>
          <w:rFonts w:eastAsiaTheme="minorEastAsia"/>
          <w:lang w:eastAsia="fr-FR" w:bidi="ar-SA"/>
        </w:rPr>
        <w:t xml:space="preserve"> réglementation</w:t>
      </w:r>
      <w:r w:rsidR="003558DD">
        <w:rPr>
          <w:rFonts w:eastAsiaTheme="minorEastAsia"/>
          <w:lang w:eastAsia="fr-FR" w:bidi="ar-SA"/>
        </w:rPr>
        <w:t>s</w:t>
      </w:r>
      <w:r w:rsidR="00181F4F">
        <w:rPr>
          <w:rFonts w:eastAsiaTheme="minorEastAsia"/>
          <w:lang w:eastAsia="fr-FR" w:bidi="ar-SA"/>
        </w:rPr>
        <w:t xml:space="preserve"> fiscale et commerciale</w:t>
      </w:r>
      <w:r w:rsidR="003558DD">
        <w:rPr>
          <w:rFonts w:eastAsiaTheme="minorEastAsia"/>
          <w:lang w:eastAsia="fr-FR" w:bidi="ar-SA"/>
        </w:rPr>
        <w:t>s.</w:t>
      </w:r>
    </w:p>
    <w:p w14:paraId="35A75CEC" w14:textId="51D5A6FD" w:rsidR="00890807" w:rsidRPr="00890807" w:rsidRDefault="00190FE7" w:rsidP="001208B3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</w:t>
      </w:r>
      <w:r w:rsidR="003558DD">
        <w:rPr>
          <w:rFonts w:eastAsiaTheme="minorEastAsia"/>
          <w:lang w:eastAsia="fr-FR" w:bidi="ar-SA"/>
        </w:rPr>
        <w:t xml:space="preserve">e document facture/avoir </w:t>
      </w:r>
      <w:r w:rsidR="00884FBC">
        <w:rPr>
          <w:rFonts w:eastAsiaTheme="minorEastAsia"/>
          <w:lang w:eastAsia="fr-FR" w:bidi="ar-SA"/>
        </w:rPr>
        <w:t xml:space="preserve">pour les RFC </w:t>
      </w:r>
      <w:r w:rsidR="003558DD">
        <w:rPr>
          <w:rFonts w:eastAsiaTheme="minorEastAsia"/>
          <w:lang w:eastAsia="fr-FR" w:bidi="ar-SA"/>
        </w:rPr>
        <w:t>doit p</w:t>
      </w:r>
      <w:r w:rsidR="00033664" w:rsidRPr="008F5B72">
        <w:rPr>
          <w:rFonts w:eastAsiaTheme="minorEastAsia"/>
          <w:lang w:eastAsia="fr-FR" w:bidi="ar-SA"/>
        </w:rPr>
        <w:t xml:space="preserve">ermettre au destinataire d’identifier les informations pour retrouver </w:t>
      </w:r>
      <w:r w:rsidR="00E91612" w:rsidRPr="008F5B72">
        <w:rPr>
          <w:rFonts w:eastAsiaTheme="minorEastAsia"/>
          <w:lang w:eastAsia="fr-FR" w:bidi="ar-SA"/>
        </w:rPr>
        <w:t>ses conditions commerciales établies au préalable avec le vendeur</w:t>
      </w:r>
    </w:p>
    <w:p w14:paraId="35EDF230" w14:textId="77777777" w:rsidR="00890807" w:rsidRPr="0002676F" w:rsidRDefault="00890807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lang w:eastAsia="fr-FR" w:bidi="ar-SA"/>
        </w:rPr>
      </w:pPr>
      <w:r w:rsidRPr="0002676F">
        <w:rPr>
          <w:rFonts w:eastAsiaTheme="minorEastAsia"/>
          <w:b/>
          <w:bCs/>
          <w:lang w:eastAsia="fr-FR" w:bidi="ar-SA"/>
        </w:rPr>
        <w:t>Rappel des règles actuellement décrites dans la dernière version du GU INVOIC</w:t>
      </w:r>
    </w:p>
    <w:p w14:paraId="2053620A" w14:textId="77777777" w:rsidR="00EB118E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RFC sont indiquées par produit (UC) sur les quantités sur lesquelles porte la ristourne.</w:t>
      </w:r>
    </w:p>
    <w:p w14:paraId="39E4EC81" w14:textId="77777777" w:rsidR="00EB118E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montant global de la RFC  à la ligne est obligatoire </w:t>
      </w:r>
    </w:p>
    <w:p w14:paraId="1E51E6A9" w14:textId="77777777" w:rsidR="00EB118E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base de calcul -taux/ montant/ pourcentage appliqué par ligne article - doit être indiquée</w:t>
      </w:r>
    </w:p>
    <w:p w14:paraId="470A940C" w14:textId="77777777" w:rsidR="00EB118E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libellé de la ristourne est obligatoire</w:t>
      </w:r>
    </w:p>
    <w:p w14:paraId="7BDE621A" w14:textId="77777777" w:rsidR="00EB118E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dématérialisation fiscale des RFC est traitée de la façon suivante : </w:t>
      </w:r>
    </w:p>
    <w:p w14:paraId="1D66862B" w14:textId="77777777" w:rsidR="00EB118E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Envoi d’un avoir exhaustif qui détaille les lignes articles sur lesquelles portent la ristourne</w:t>
      </w:r>
    </w:p>
    <w:p w14:paraId="0C5A1071" w14:textId="6F0A1C5F" w:rsidR="00EB118E" w:rsidRPr="00141B8F" w:rsidRDefault="00EB118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En EDI</w:t>
      </w:r>
      <w:r w:rsidR="003B6B0E">
        <w:t>, l</w:t>
      </w:r>
      <w:r w:rsidRPr="00141B8F">
        <w:t>’entête de l’avoir de ristourne comportera</w:t>
      </w:r>
    </w:p>
    <w:p w14:paraId="76357F43" w14:textId="0EC7951D" w:rsidR="00EB118E" w:rsidRPr="00141B8F" w:rsidRDefault="003B6B0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 d</w:t>
      </w:r>
      <w:r w:rsidR="00EB118E" w:rsidRPr="00141B8F">
        <w:t xml:space="preserve">onnées Structurées : </w:t>
      </w:r>
    </w:p>
    <w:p w14:paraId="7D602C3A" w14:textId="0766B260" w:rsidR="00EB118E" w:rsidRPr="00141B8F" w:rsidRDefault="003B6B0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La p</w:t>
      </w:r>
      <w:r w:rsidR="00EB118E" w:rsidRPr="00141B8F">
        <w:t xml:space="preserve">ériode de validité (du __/__/__ au __/__/__ ) </w:t>
      </w:r>
    </w:p>
    <w:p w14:paraId="6D8DB177" w14:textId="441A763D" w:rsidR="00EB118E" w:rsidRPr="00141B8F" w:rsidRDefault="003B6B0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La p</w:t>
      </w:r>
      <w:r w:rsidR="00EB118E" w:rsidRPr="00141B8F">
        <w:t xml:space="preserve">ériode de facturation (du __/__/__ au __/__/__ ) [utile notamment pour un acompte de ristourne] </w:t>
      </w:r>
    </w:p>
    <w:p w14:paraId="6FDE20EE" w14:textId="07F3FE18" w:rsidR="00EB118E" w:rsidRPr="00141B8F" w:rsidRDefault="003B6B0E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pt-BR"/>
        </w:rPr>
        <w:t>3. Le t</w:t>
      </w:r>
      <w:r w:rsidR="00EB118E" w:rsidRPr="00141B8F">
        <w:rPr>
          <w:lang w:val="pt-BR"/>
        </w:rPr>
        <w:t xml:space="preserve">ype de ristourne (ALI : RFC, RSD) </w:t>
      </w:r>
    </w:p>
    <w:p w14:paraId="758622B2" w14:textId="1D5E24DD" w:rsidR="00890807" w:rsidRPr="0002676F" w:rsidRDefault="0002676F" w:rsidP="00026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 d</w:t>
      </w:r>
      <w:r w:rsidR="00EB118E" w:rsidRPr="00141B8F">
        <w:t>onnées non structurées (AII)</w:t>
      </w:r>
      <w:r>
        <w:t> : n</w:t>
      </w:r>
      <w:r w:rsidR="00EB118E" w:rsidRPr="00141B8F">
        <w:t>om, type de ristourne (accord de ristourne, acompte d’avoir de ristourne, solde d’avoir de ristourne)</w:t>
      </w:r>
    </w:p>
    <w:p w14:paraId="33ABA8F5" w14:textId="358916B2" w:rsidR="00765836" w:rsidRDefault="00765836">
      <w:pPr>
        <w:spacing w:before="0" w:after="0"/>
        <w:jc w:val="left"/>
        <w:rPr>
          <w:rFonts w:eastAsiaTheme="minorEastAsia"/>
          <w:spacing w:val="15"/>
          <w:szCs w:val="22"/>
          <w:lang w:eastAsia="fr-FR" w:bidi="ar-SA"/>
        </w:rPr>
      </w:pPr>
    </w:p>
    <w:p w14:paraId="25053A87" w14:textId="12D99CF7" w:rsidR="00B55899" w:rsidRPr="00765836" w:rsidRDefault="00765836" w:rsidP="00765836">
      <w:pPr>
        <w:pStyle w:val="Titre2"/>
        <w:rPr>
          <w:rFonts w:eastAsiaTheme="minorEastAsia"/>
        </w:rPr>
      </w:pPr>
      <w:r w:rsidRPr="00765836">
        <w:rPr>
          <w:rFonts w:eastAsiaTheme="minorEastAsia"/>
        </w:rPr>
        <w:t>Retour</w:t>
      </w:r>
      <w:r w:rsidR="00D65990">
        <w:rPr>
          <w:rFonts w:eastAsiaTheme="minorEastAsia"/>
        </w:rPr>
        <w:t>s</w:t>
      </w:r>
      <w:r w:rsidRPr="00765836">
        <w:rPr>
          <w:rFonts w:eastAsiaTheme="minorEastAsia"/>
        </w:rPr>
        <w:t xml:space="preserve"> d’expérience sur le</w:t>
      </w:r>
      <w:r>
        <w:rPr>
          <w:rFonts w:eastAsiaTheme="minorEastAsia"/>
        </w:rPr>
        <w:t>s</w:t>
      </w:r>
      <w:r w:rsidRPr="00765836">
        <w:rPr>
          <w:rFonts w:eastAsiaTheme="minorEastAsia"/>
        </w:rPr>
        <w:t xml:space="preserve"> pratiques et la gestion des RFC</w:t>
      </w:r>
    </w:p>
    <w:p w14:paraId="45C6EFDB" w14:textId="4E3D6980" w:rsidR="00285962" w:rsidRDefault="002C3D27" w:rsidP="001208B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participants </w:t>
      </w:r>
      <w:r w:rsidR="007A0B62">
        <w:rPr>
          <w:rFonts w:eastAsiaTheme="minorEastAsia"/>
          <w:lang w:eastAsia="fr-FR" w:bidi="ar-SA"/>
        </w:rPr>
        <w:t>ont partagé leur expérience sur les p</w:t>
      </w:r>
      <w:r w:rsidR="000D2D10">
        <w:rPr>
          <w:rFonts w:eastAsiaTheme="minorEastAsia"/>
          <w:lang w:eastAsia="fr-FR" w:bidi="ar-SA"/>
        </w:rPr>
        <w:t>ratiques et</w:t>
      </w:r>
      <w:r w:rsidR="007A0B62">
        <w:rPr>
          <w:rFonts w:eastAsiaTheme="minorEastAsia"/>
          <w:lang w:eastAsia="fr-FR" w:bidi="ar-SA"/>
        </w:rPr>
        <w:t xml:space="preserve"> la</w:t>
      </w:r>
      <w:r w:rsidR="000D2D10">
        <w:rPr>
          <w:rFonts w:eastAsiaTheme="minorEastAsia"/>
          <w:lang w:eastAsia="fr-FR" w:bidi="ar-SA"/>
        </w:rPr>
        <w:t xml:space="preserve"> g</w:t>
      </w:r>
      <w:r w:rsidR="00285962">
        <w:rPr>
          <w:rFonts w:eastAsiaTheme="minorEastAsia"/>
          <w:lang w:eastAsia="fr-FR" w:bidi="ar-SA"/>
        </w:rPr>
        <w:t xml:space="preserve">estion des RFC </w:t>
      </w:r>
      <w:r w:rsidR="007A0B62">
        <w:rPr>
          <w:rFonts w:eastAsiaTheme="minorEastAsia"/>
          <w:lang w:eastAsia="fr-FR" w:bidi="ar-SA"/>
        </w:rPr>
        <w:t>dans leurs structures</w:t>
      </w:r>
      <w:r w:rsidR="00285962">
        <w:rPr>
          <w:rFonts w:eastAsiaTheme="minorEastAsia"/>
          <w:lang w:eastAsia="fr-FR" w:bidi="ar-SA"/>
        </w:rPr>
        <w:t> :</w:t>
      </w:r>
    </w:p>
    <w:p w14:paraId="79130F8C" w14:textId="780611FB" w:rsidR="00E00312" w:rsidRDefault="009F68D2" w:rsidP="005129BB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avoirs de RFC transmis par les fournisseurs </w:t>
      </w:r>
      <w:r w:rsidR="000D2D10">
        <w:rPr>
          <w:rFonts w:eastAsiaTheme="minorEastAsia"/>
          <w:lang w:eastAsia="fr-FR" w:bidi="ar-SA"/>
        </w:rPr>
        <w:t xml:space="preserve">décrivent les RFC </w:t>
      </w:r>
      <w:r w:rsidR="006C0FCA">
        <w:rPr>
          <w:rFonts w:eastAsiaTheme="minorEastAsia"/>
          <w:lang w:eastAsia="fr-FR" w:bidi="ar-SA"/>
        </w:rPr>
        <w:t>par article en donnant le montant global de la RFC par article. Le détail du mode de calcul et des motifs de la RFC</w:t>
      </w:r>
      <w:r w:rsidR="00004D47">
        <w:rPr>
          <w:rFonts w:eastAsiaTheme="minorEastAsia"/>
          <w:lang w:eastAsia="fr-FR" w:bidi="ar-SA"/>
        </w:rPr>
        <w:t xml:space="preserve"> sont </w:t>
      </w:r>
      <w:r w:rsidR="002D0E07">
        <w:rPr>
          <w:rFonts w:eastAsiaTheme="minorEastAsia"/>
          <w:lang w:eastAsia="fr-FR" w:bidi="ar-SA"/>
        </w:rPr>
        <w:t xml:space="preserve">décrits dans un fichier annexe transmis </w:t>
      </w:r>
      <w:r w:rsidR="00E00312">
        <w:rPr>
          <w:rFonts w:eastAsiaTheme="minorEastAsia"/>
          <w:lang w:eastAsia="fr-FR" w:bidi="ar-SA"/>
        </w:rPr>
        <w:t>par le fournisseur au client (</w:t>
      </w:r>
      <w:proofErr w:type="spellStart"/>
      <w:r w:rsidR="00E00312">
        <w:rPr>
          <w:rFonts w:eastAsiaTheme="minorEastAsia"/>
          <w:lang w:eastAsia="fr-FR" w:bidi="ar-SA"/>
        </w:rPr>
        <w:t>excel</w:t>
      </w:r>
      <w:proofErr w:type="spellEnd"/>
      <w:r w:rsidR="00E00312">
        <w:rPr>
          <w:rFonts w:eastAsiaTheme="minorEastAsia"/>
          <w:lang w:eastAsia="fr-FR" w:bidi="ar-SA"/>
        </w:rPr>
        <w:t xml:space="preserve"> par exemple)</w:t>
      </w:r>
    </w:p>
    <w:p w14:paraId="573C3FEE" w14:textId="291A250A" w:rsidR="00E05868" w:rsidRPr="005129BB" w:rsidRDefault="00E05868" w:rsidP="005129BB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t>L’</w:t>
      </w:r>
      <w:r>
        <w:t>intégration des pièces RFC</w:t>
      </w:r>
      <w:r>
        <w:t xml:space="preserve"> chez le </w:t>
      </w:r>
      <w:r w:rsidR="00720035">
        <w:t>client</w:t>
      </w:r>
      <w:r>
        <w:t xml:space="preserve"> se font après un examen manuel des conditions précisées dans le document annexe</w:t>
      </w:r>
    </w:p>
    <w:p w14:paraId="7B171C39" w14:textId="624D18F8" w:rsidR="00E00312" w:rsidRDefault="00E00312" w:rsidP="009F68D2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Certains avoir de RFC</w:t>
      </w:r>
      <w:r w:rsidR="005129BB">
        <w:rPr>
          <w:rFonts w:eastAsiaTheme="minorEastAsia"/>
          <w:lang w:eastAsia="fr-FR" w:bidi="ar-SA"/>
        </w:rPr>
        <w:t xml:space="preserve"> reçus </w:t>
      </w:r>
      <w:r w:rsidR="00280308">
        <w:rPr>
          <w:rFonts w:eastAsiaTheme="minorEastAsia"/>
          <w:lang w:eastAsia="fr-FR" w:bidi="ar-SA"/>
        </w:rPr>
        <w:t xml:space="preserve">par les centrales/distributeurs </w:t>
      </w:r>
      <w:r w:rsidR="00F25B4C">
        <w:rPr>
          <w:rFonts w:eastAsiaTheme="minorEastAsia"/>
          <w:lang w:eastAsia="fr-FR" w:bidi="ar-SA"/>
        </w:rPr>
        <w:t xml:space="preserve">ne </w:t>
      </w:r>
      <w:r w:rsidR="003F2BFB">
        <w:rPr>
          <w:rFonts w:eastAsiaTheme="minorEastAsia"/>
          <w:lang w:eastAsia="fr-FR" w:bidi="ar-SA"/>
        </w:rPr>
        <w:t xml:space="preserve">contiennent le détail par article </w:t>
      </w:r>
      <w:r w:rsidR="00280308">
        <w:rPr>
          <w:rFonts w:eastAsiaTheme="minorEastAsia"/>
          <w:lang w:eastAsia="fr-FR" w:bidi="ar-SA"/>
        </w:rPr>
        <w:t xml:space="preserve">et l’intégration dans les systèmes d’information est complexe =&gt; émetteur </w:t>
      </w:r>
      <w:r w:rsidR="00AD36C7">
        <w:rPr>
          <w:rFonts w:eastAsiaTheme="minorEastAsia"/>
          <w:lang w:eastAsia="fr-FR" w:bidi="ar-SA"/>
        </w:rPr>
        <w:t xml:space="preserve">n’utilise pas la dernière version du GU INVOIC comme référence qui précise les règles sur les RFC car par forcément en </w:t>
      </w:r>
      <w:r w:rsidR="0043120E">
        <w:rPr>
          <w:rFonts w:eastAsiaTheme="minorEastAsia"/>
          <w:lang w:eastAsia="fr-FR" w:bidi="ar-SA"/>
        </w:rPr>
        <w:t xml:space="preserve">mode </w:t>
      </w:r>
      <w:r w:rsidR="00AD36C7">
        <w:rPr>
          <w:rFonts w:eastAsiaTheme="minorEastAsia"/>
          <w:lang w:eastAsia="fr-FR" w:bidi="ar-SA"/>
        </w:rPr>
        <w:t>démat</w:t>
      </w:r>
      <w:r w:rsidR="0043120E">
        <w:rPr>
          <w:rFonts w:eastAsiaTheme="minorEastAsia"/>
          <w:lang w:eastAsia="fr-FR" w:bidi="ar-SA"/>
        </w:rPr>
        <w:t>érialisé</w:t>
      </w:r>
    </w:p>
    <w:p w14:paraId="2D1AF80C" w14:textId="6F9B99F4" w:rsidR="00AD36C7" w:rsidRDefault="0051654D" w:rsidP="009F68D2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</w:t>
      </w:r>
      <w:r w:rsidR="00CD2613">
        <w:rPr>
          <w:rFonts w:eastAsiaTheme="minorEastAsia"/>
          <w:lang w:eastAsia="fr-FR" w:bidi="ar-SA"/>
        </w:rPr>
        <w:t>es unités</w:t>
      </w:r>
      <w:r w:rsidR="0012097D">
        <w:rPr>
          <w:rFonts w:eastAsiaTheme="minorEastAsia"/>
          <w:lang w:eastAsia="fr-FR" w:bidi="ar-SA"/>
        </w:rPr>
        <w:t xml:space="preserve"> RFC devrait être précisé en unité statistique ou monétaire et non en dose ou en unité de mesure =&gt; règle AEE GU INVOIC </w:t>
      </w:r>
      <w:r>
        <w:rPr>
          <w:rFonts w:eastAsiaTheme="minorEastAsia"/>
          <w:lang w:eastAsia="fr-FR" w:bidi="ar-SA"/>
        </w:rPr>
        <w:t xml:space="preserve">qui n’est </w:t>
      </w:r>
      <w:r w:rsidR="0012097D">
        <w:rPr>
          <w:rFonts w:eastAsiaTheme="minorEastAsia"/>
          <w:lang w:eastAsia="fr-FR" w:bidi="ar-SA"/>
        </w:rPr>
        <w:t>pas toujours re</w:t>
      </w:r>
      <w:r>
        <w:rPr>
          <w:rFonts w:eastAsiaTheme="minorEastAsia"/>
          <w:lang w:eastAsia="fr-FR" w:bidi="ar-SA"/>
        </w:rPr>
        <w:t>spectée</w:t>
      </w:r>
      <w:r w:rsidR="0008656D">
        <w:rPr>
          <w:rFonts w:eastAsiaTheme="minorEastAsia"/>
          <w:lang w:eastAsia="fr-FR" w:bidi="ar-SA"/>
        </w:rPr>
        <w:t>. Cette règle devra peut-être être reprécisée dans le guide pour éviter les interprétations</w:t>
      </w:r>
    </w:p>
    <w:p w14:paraId="6A45E6AF" w14:textId="013E6BCC" w:rsidR="0008656D" w:rsidRDefault="00816007" w:rsidP="009F68D2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L’absence de détails sur le mode de calcul et le</w:t>
      </w:r>
      <w:r w:rsidR="00452D6A">
        <w:rPr>
          <w:rFonts w:eastAsiaTheme="minorEastAsia"/>
          <w:lang w:eastAsia="fr-FR" w:bidi="ar-SA"/>
        </w:rPr>
        <w:t>s</w:t>
      </w:r>
      <w:r>
        <w:rPr>
          <w:rFonts w:eastAsiaTheme="minorEastAsia"/>
          <w:lang w:eastAsia="fr-FR" w:bidi="ar-SA"/>
        </w:rPr>
        <w:t xml:space="preserve"> motifs des RFC par article ne permet pas toujours d’affecter les </w:t>
      </w:r>
      <w:r w:rsidR="00452D6A">
        <w:rPr>
          <w:rFonts w:eastAsiaTheme="minorEastAsia"/>
          <w:lang w:eastAsia="fr-FR" w:bidi="ar-SA"/>
        </w:rPr>
        <w:t xml:space="preserve">bons montants dans les systèmes d’information des récepteurs. Le fichier annexe </w:t>
      </w:r>
      <w:r w:rsidR="006E120A">
        <w:rPr>
          <w:rFonts w:eastAsiaTheme="minorEastAsia"/>
          <w:lang w:eastAsia="fr-FR" w:bidi="ar-SA"/>
        </w:rPr>
        <w:t xml:space="preserve">décrivant les détails permet </w:t>
      </w:r>
      <w:r w:rsidR="00076EEF">
        <w:rPr>
          <w:rFonts w:eastAsiaTheme="minorEastAsia"/>
          <w:lang w:eastAsia="fr-FR" w:bidi="ar-SA"/>
        </w:rPr>
        <w:t>après analyse d’intégrer les données manuellement dans le SI.</w:t>
      </w:r>
    </w:p>
    <w:p w14:paraId="59F5E53D" w14:textId="77777777" w:rsidR="0037171B" w:rsidRDefault="00075F42" w:rsidP="0037171B">
      <w:pPr>
        <w:pStyle w:val="Paragraphedeliste"/>
      </w:pPr>
      <w:r>
        <w:rPr>
          <w:rFonts w:eastAsiaTheme="minorEastAsia"/>
          <w:lang w:eastAsia="fr-FR" w:bidi="ar-SA"/>
        </w:rPr>
        <w:t>Exemple</w:t>
      </w:r>
      <w:r w:rsidR="0037171B">
        <w:rPr>
          <w:rFonts w:eastAsiaTheme="minorEastAsia"/>
          <w:lang w:eastAsia="fr-FR" w:bidi="ar-SA"/>
        </w:rPr>
        <w:t xml:space="preserve"> : </w:t>
      </w:r>
      <w:r w:rsidR="0037171B">
        <w:t>5 euros par dose pour motif 1 et 6 euros / dose pour motif 2</w:t>
      </w:r>
    </w:p>
    <w:p w14:paraId="49682D6D" w14:textId="77777777" w:rsidR="0037171B" w:rsidRDefault="0037171B" w:rsidP="0037171B">
      <w:pPr>
        <w:pStyle w:val="Paragraphedeliste"/>
        <w:numPr>
          <w:ilvl w:val="0"/>
          <w:numId w:val="16"/>
        </w:numPr>
        <w:spacing w:before="0" w:after="160" w:line="259" w:lineRule="auto"/>
        <w:jc w:val="left"/>
      </w:pPr>
      <w:r>
        <w:t>Prix brut = 0 // 2 ALC à la ligne avec le détail des 2 conditions de remise</w:t>
      </w:r>
    </w:p>
    <w:p w14:paraId="2C65B621" w14:textId="6FBEA975" w:rsidR="0043120E" w:rsidRDefault="0037171B" w:rsidP="009A50BC">
      <w:pPr>
        <w:pStyle w:val="Paragraphedeliste"/>
        <w:ind w:left="1080"/>
      </w:pPr>
      <w:r>
        <w:t>Si les remises sont en pourcentage et prix brut = 0 pour cohérence prix brut/prix net, alors on ne peut pas calculer un pourcentage du prix brut qui est = 0</w:t>
      </w:r>
    </w:p>
    <w:p w14:paraId="46FFCCF3" w14:textId="6CDBEA01" w:rsidR="001C68E0" w:rsidRDefault="001C68E0" w:rsidP="001C68E0">
      <w:pPr>
        <w:pStyle w:val="Titre2"/>
        <w:rPr>
          <w:rFonts w:eastAsiaTheme="minorEastAsia"/>
        </w:rPr>
      </w:pPr>
      <w:r>
        <w:rPr>
          <w:rFonts w:eastAsiaTheme="minorEastAsia"/>
        </w:rPr>
        <w:t>Pistes de travail</w:t>
      </w:r>
    </w:p>
    <w:p w14:paraId="23747170" w14:textId="706FBB60" w:rsidR="00F71A9C" w:rsidRDefault="00F71A9C" w:rsidP="00285962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groupe de travail recommande d’appliquer les règles décrites dans la dernière version du GU V3.9</w:t>
      </w:r>
    </w:p>
    <w:p w14:paraId="2D578D6F" w14:textId="1548C32E" w:rsidR="00D65990" w:rsidRDefault="00484EDD" w:rsidP="00285962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Pour garantir le traitement des documents RFC en EDI</w:t>
      </w:r>
      <w:r w:rsidR="00F15D0D">
        <w:rPr>
          <w:rFonts w:eastAsiaTheme="minorEastAsia"/>
          <w:lang w:eastAsia="fr-FR" w:bidi="ar-SA"/>
        </w:rPr>
        <w:t xml:space="preserve"> reçus, les émetteurs doivent à minima :</w:t>
      </w:r>
    </w:p>
    <w:p w14:paraId="41A57DBD" w14:textId="2763D054" w:rsidR="00734A05" w:rsidRDefault="00734A05" w:rsidP="00734A05">
      <w:pPr>
        <w:pStyle w:val="Paragraphedeliste"/>
        <w:numPr>
          <w:ilvl w:val="0"/>
          <w:numId w:val="1"/>
        </w:numPr>
        <w:spacing w:before="0" w:after="160" w:line="259" w:lineRule="auto"/>
        <w:jc w:val="left"/>
      </w:pPr>
      <w:r>
        <w:t>Préciser le m</w:t>
      </w:r>
      <w:r>
        <w:t xml:space="preserve">ontant global </w:t>
      </w:r>
      <w:r>
        <w:t xml:space="preserve">de la RFC </w:t>
      </w:r>
      <w:r>
        <w:t xml:space="preserve">produit par produit selon les conditions commerciales négociées </w:t>
      </w:r>
    </w:p>
    <w:p w14:paraId="04D5974D" w14:textId="77777777" w:rsidR="00734A05" w:rsidRDefault="00734A05" w:rsidP="00734A05">
      <w:pPr>
        <w:pStyle w:val="Paragraphedeliste"/>
        <w:numPr>
          <w:ilvl w:val="0"/>
          <w:numId w:val="1"/>
        </w:numPr>
        <w:spacing w:before="0" w:after="160" w:line="259" w:lineRule="auto"/>
        <w:jc w:val="left"/>
      </w:pPr>
      <w:r>
        <w:t>Précision du détail du mode de calcul des RFC dans un fichier annexe (pas EDI)</w:t>
      </w:r>
    </w:p>
    <w:p w14:paraId="77C71A5B" w14:textId="4B0A8B25" w:rsidR="00E05868" w:rsidRPr="007B7C47" w:rsidRDefault="00047DC7" w:rsidP="007B7C47">
      <w:pPr>
        <w:ind w:left="48"/>
      </w:pPr>
      <w:r>
        <w:rPr>
          <w:rFonts w:eastAsiaTheme="minorEastAsia"/>
          <w:lang w:eastAsia="fr-FR" w:bidi="ar-SA"/>
        </w:rPr>
        <w:t xml:space="preserve">Dans un monde parfait, les motifs des RFC et les montants associés à chaque </w:t>
      </w:r>
      <w:r w:rsidR="00A52D06">
        <w:rPr>
          <w:rFonts w:eastAsiaTheme="minorEastAsia"/>
          <w:lang w:eastAsia="fr-FR" w:bidi="ar-SA"/>
        </w:rPr>
        <w:t>remise appliquée</w:t>
      </w:r>
      <w:r w:rsidR="00CC23C0">
        <w:rPr>
          <w:rFonts w:eastAsiaTheme="minorEastAsia"/>
          <w:lang w:eastAsia="fr-FR" w:bidi="ar-SA"/>
        </w:rPr>
        <w:t xml:space="preserve"> pourraient être détaillées</w:t>
      </w:r>
      <w:r w:rsidR="00F71A9C">
        <w:rPr>
          <w:rFonts w:eastAsiaTheme="minorEastAsia"/>
          <w:lang w:eastAsia="fr-FR" w:bidi="ar-SA"/>
        </w:rPr>
        <w:t xml:space="preserve"> mais il semble compliqué de </w:t>
      </w:r>
      <w:r w:rsidR="00D70679">
        <w:t>lister puis préciser toutes les conditions et offres commerciales et décrire le mode de calcul des RFC dans un avoir</w:t>
      </w:r>
      <w:r w:rsidR="00D70679">
        <w:t>.</w:t>
      </w:r>
    </w:p>
    <w:p w14:paraId="4F7FEB22" w14:textId="69862845" w:rsidR="00223540" w:rsidRDefault="00223540" w:rsidP="00285962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groupe a évoqué les p</w:t>
      </w:r>
      <w:r w:rsidR="0077762A">
        <w:rPr>
          <w:rFonts w:eastAsiaTheme="minorEastAsia"/>
          <w:lang w:eastAsia="fr-FR" w:bidi="ar-SA"/>
        </w:rPr>
        <w:t>istes de travail </w:t>
      </w:r>
      <w:r>
        <w:rPr>
          <w:rFonts w:eastAsiaTheme="minorEastAsia"/>
          <w:lang w:eastAsia="fr-FR" w:bidi="ar-SA"/>
        </w:rPr>
        <w:t>suivantes </w:t>
      </w:r>
      <w:r w:rsidR="007B7C47">
        <w:rPr>
          <w:rFonts w:eastAsiaTheme="minorEastAsia"/>
          <w:lang w:eastAsia="fr-FR" w:bidi="ar-SA"/>
        </w:rPr>
        <w:t xml:space="preserve">pour optimiser la gestion des RFC </w:t>
      </w:r>
      <w:r>
        <w:rPr>
          <w:rFonts w:eastAsiaTheme="minorEastAsia"/>
          <w:lang w:eastAsia="fr-FR" w:bidi="ar-SA"/>
        </w:rPr>
        <w:t>:</w:t>
      </w:r>
    </w:p>
    <w:p w14:paraId="409B9535" w14:textId="71054B03" w:rsidR="00223540" w:rsidRDefault="005B7FD7" w:rsidP="00223540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Faire le lien entre le contrat </w:t>
      </w:r>
      <w:r w:rsidR="00A01027">
        <w:rPr>
          <w:rFonts w:eastAsiaTheme="minorEastAsia"/>
          <w:lang w:eastAsia="fr-FR" w:bidi="ar-SA"/>
        </w:rPr>
        <w:t>et les RFC décrites dans les fichiers INVOIC</w:t>
      </w:r>
    </w:p>
    <w:p w14:paraId="0926527A" w14:textId="4D06C61C" w:rsidR="00A01027" w:rsidRDefault="00EC08C4" w:rsidP="00223540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Décrire le détail des RFC dans le PRICAT pour faciliter leur traitement</w:t>
      </w:r>
    </w:p>
    <w:p w14:paraId="23EAF2F3" w14:textId="101E2929" w:rsidR="004E2BE4" w:rsidRPr="00223540" w:rsidRDefault="004E2BE4" w:rsidP="00223540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lastRenderedPageBreak/>
        <w:t xml:space="preserve">Rédiger un guide de recommandations sur la gestion des RFC </w:t>
      </w:r>
      <w:r w:rsidR="006B1073">
        <w:rPr>
          <w:rFonts w:eastAsiaTheme="minorEastAsia"/>
          <w:lang w:eastAsia="fr-FR" w:bidi="ar-SA"/>
        </w:rPr>
        <w:t xml:space="preserve">(EDI et papier) : </w:t>
      </w:r>
      <w:r w:rsidR="00F82EB0">
        <w:rPr>
          <w:rFonts w:eastAsiaTheme="minorEastAsia"/>
          <w:lang w:eastAsia="fr-FR" w:bidi="ar-SA"/>
        </w:rPr>
        <w:t>mentions obligatoires, règles de gestion, bonnes pratiques, etc.</w:t>
      </w:r>
    </w:p>
    <w:p w14:paraId="6D6D7981" w14:textId="0FA476B5" w:rsidR="0077762A" w:rsidRDefault="00CE0362" w:rsidP="00D2406F">
      <w:pPr>
        <w:pStyle w:val="Titre2"/>
        <w:rPr>
          <w:rFonts w:eastAsiaTheme="minorEastAsia"/>
        </w:rPr>
      </w:pPr>
      <w:r>
        <w:rPr>
          <w:rFonts w:eastAsiaTheme="minorEastAsia"/>
        </w:rPr>
        <w:t xml:space="preserve">Plan d’action : </w:t>
      </w:r>
    </w:p>
    <w:p w14:paraId="144E73F8" w14:textId="5F8009D7" w:rsidR="007B7C47" w:rsidRDefault="007B7C47" w:rsidP="007B7C47">
      <w:pPr>
        <w:pStyle w:val="Paragraphedeliste"/>
        <w:numPr>
          <w:ilvl w:val="0"/>
          <w:numId w:val="1"/>
        </w:numPr>
        <w:tabs>
          <w:tab w:val="left" w:pos="2010"/>
        </w:tabs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Agro EDI Europe interroge quelques fournisseurs sur leurs pratiques dans l’émission d’avoir RFC et fait un retour au GT lors de la prochaine réunion</w:t>
      </w:r>
      <w:r w:rsidR="008510FA">
        <w:rPr>
          <w:rFonts w:eastAsiaTheme="minorEastAsia"/>
          <w:lang w:eastAsia="fr-FR" w:bidi="ar-SA"/>
        </w:rPr>
        <w:t xml:space="preserve">. Objectifs de l’étude : </w:t>
      </w:r>
      <w:r w:rsidR="00033138">
        <w:t>refaire des exemples</w:t>
      </w:r>
      <w:r w:rsidR="00033138">
        <w:t xml:space="preserve">, </w:t>
      </w:r>
      <w:r w:rsidR="00033138">
        <w:t>identifier les difficultés, les erreurs et leurs origines pour proposer des pistes de travail</w:t>
      </w:r>
    </w:p>
    <w:p w14:paraId="2B5DC912" w14:textId="04C63C86" w:rsidR="007B7C47" w:rsidRDefault="00F83F9C" w:rsidP="007B7C47">
      <w:pPr>
        <w:pStyle w:val="Paragraphedeliste"/>
        <w:numPr>
          <w:ilvl w:val="0"/>
          <w:numId w:val="1"/>
        </w:numPr>
        <w:tabs>
          <w:tab w:val="left" w:pos="2010"/>
        </w:tabs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Listing des mentions obligatoires d’un point de vue fiscale dans le cadre de l’émission d’avoir RFC</w:t>
      </w:r>
      <w:r w:rsidR="00AB7553">
        <w:rPr>
          <w:rFonts w:eastAsiaTheme="minorEastAsia"/>
          <w:lang w:eastAsia="fr-FR" w:bidi="ar-SA"/>
        </w:rPr>
        <w:t xml:space="preserve"> =&gt; Agro EDI fait un retour lors de la prochaine réunion du GT</w:t>
      </w:r>
    </w:p>
    <w:p w14:paraId="315120F2" w14:textId="195A4FE7" w:rsidR="00AB7553" w:rsidRDefault="00AB7553" w:rsidP="007B7C47">
      <w:pPr>
        <w:pStyle w:val="Paragraphedeliste"/>
        <w:numPr>
          <w:ilvl w:val="0"/>
          <w:numId w:val="1"/>
        </w:numPr>
        <w:tabs>
          <w:tab w:val="left" w:pos="2010"/>
        </w:tabs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Listing des mentions obligatoires d’un point de vue commerciale dans le cadre de l’émission d’avoir RFC : à priori, seul le libellé de la RFC pourrait être exigé dans le document</w:t>
      </w:r>
    </w:p>
    <w:p w14:paraId="3AAD8AF2" w14:textId="0236BACB" w:rsidR="00DC49F1" w:rsidRPr="00DC49F1" w:rsidRDefault="00DC49F1" w:rsidP="00DC49F1">
      <w:pPr>
        <w:tabs>
          <w:tab w:val="left" w:pos="2010"/>
        </w:tabs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participants signalent qu’il serait </w:t>
      </w:r>
      <w:r w:rsidR="00B179C1">
        <w:rPr>
          <w:rFonts w:eastAsiaTheme="minorEastAsia"/>
          <w:lang w:eastAsia="fr-FR" w:bidi="ar-SA"/>
        </w:rPr>
        <w:t>bien que le travail soit finalisé pour une mise en production dans leur système en juin.</w:t>
      </w:r>
    </w:p>
    <w:p w14:paraId="66AC9A70" w14:textId="77777777" w:rsidR="005531D6" w:rsidRPr="00A96707" w:rsidRDefault="005531D6" w:rsidP="00A96707">
      <w:pPr>
        <w:rPr>
          <w:rFonts w:eastAsiaTheme="minorEastAsia"/>
          <w:lang w:eastAsia="fr-FR" w:bidi="ar-SA"/>
        </w:rPr>
      </w:pPr>
    </w:p>
    <w:p w14:paraId="73CD5163" w14:textId="77777777" w:rsidR="00E36597" w:rsidRDefault="00E36597" w:rsidP="00D926EC">
      <w:pPr>
        <w:jc w:val="center"/>
        <w:rPr>
          <w:rFonts w:eastAsiaTheme="minorEastAsia"/>
          <w:lang w:eastAsia="fr-FR" w:bidi="ar-SA"/>
        </w:rPr>
      </w:pPr>
    </w:p>
    <w:p w14:paraId="32F6F164" w14:textId="49224356" w:rsidR="00D2184C" w:rsidRPr="00E36597" w:rsidRDefault="00D2184C" w:rsidP="00E36597">
      <w:pPr>
        <w:jc w:val="center"/>
        <w:rPr>
          <w:rFonts w:eastAsiaTheme="minorEastAsia"/>
          <w:b/>
          <w:bCs/>
          <w:lang w:eastAsia="fr-FR" w:bidi="ar-SA"/>
        </w:rPr>
      </w:pPr>
      <w:r w:rsidRPr="00E36597">
        <w:rPr>
          <w:rFonts w:eastAsiaTheme="minorEastAsia"/>
          <w:b/>
          <w:bCs/>
          <w:lang w:eastAsia="fr-FR" w:bidi="ar-SA"/>
        </w:rPr>
        <w:t xml:space="preserve">Prochaine réunion : le </w:t>
      </w:r>
      <w:r w:rsidR="004042A5">
        <w:rPr>
          <w:rFonts w:eastAsiaTheme="minorEastAsia"/>
          <w:b/>
          <w:bCs/>
          <w:lang w:eastAsia="fr-FR" w:bidi="ar-SA"/>
        </w:rPr>
        <w:t>15</w:t>
      </w:r>
      <w:r w:rsidR="00E36597" w:rsidRPr="00E36597">
        <w:rPr>
          <w:rFonts w:eastAsiaTheme="minorEastAsia"/>
          <w:b/>
          <w:bCs/>
          <w:lang w:eastAsia="fr-FR" w:bidi="ar-SA"/>
        </w:rPr>
        <w:t xml:space="preserve"> mars 2022 à 1</w:t>
      </w:r>
      <w:r w:rsidR="004042A5">
        <w:rPr>
          <w:rFonts w:eastAsiaTheme="minorEastAsia"/>
          <w:b/>
          <w:bCs/>
          <w:lang w:eastAsia="fr-FR" w:bidi="ar-SA"/>
        </w:rPr>
        <w:t>4</w:t>
      </w:r>
      <w:r w:rsidR="00E36597" w:rsidRPr="00E36597">
        <w:rPr>
          <w:rFonts w:eastAsiaTheme="minorEastAsia"/>
          <w:b/>
          <w:bCs/>
          <w:lang w:eastAsia="fr-FR" w:bidi="ar-SA"/>
        </w:rPr>
        <w:t>H</w:t>
      </w:r>
      <w:r w:rsidR="004042A5">
        <w:rPr>
          <w:rFonts w:eastAsiaTheme="minorEastAsia"/>
          <w:b/>
          <w:bCs/>
          <w:lang w:eastAsia="fr-FR" w:bidi="ar-SA"/>
        </w:rPr>
        <w:t>30</w:t>
      </w:r>
      <w:r w:rsidR="00E36597" w:rsidRPr="00E36597">
        <w:rPr>
          <w:rFonts w:eastAsiaTheme="minorEastAsia"/>
          <w:b/>
          <w:bCs/>
          <w:lang w:eastAsia="fr-FR" w:bidi="ar-SA"/>
        </w:rPr>
        <w:t xml:space="preserve"> en visioconférence</w:t>
      </w:r>
    </w:p>
    <w:p w14:paraId="74849FC3" w14:textId="26D0CA8B" w:rsidR="00D926EC" w:rsidRDefault="00D926EC" w:rsidP="00D926E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771BE787" w14:textId="77777777" w:rsidR="00541A8E" w:rsidRPr="00541A8E" w:rsidRDefault="00541A8E" w:rsidP="00541A8E">
      <w:pPr>
        <w:rPr>
          <w:rFonts w:eastAsiaTheme="minorEastAsia"/>
          <w:lang w:eastAsia="fr-FR" w:bidi="ar-SA"/>
        </w:rPr>
      </w:pPr>
    </w:p>
    <w:p w14:paraId="7A60DA82" w14:textId="7F9C7A9D" w:rsidR="00D8213C" w:rsidRDefault="00DE12AD" w:rsidP="00D8213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rFonts w:eastAsiaTheme="minorEastAsia"/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 w:rsidR="00E65CE8">
        <w:rPr>
          <w:rFonts w:eastAsiaTheme="minorEastAsia"/>
          <w:lang w:eastAsia="fr-FR" w:bidi="ar-SA"/>
        </w:rPr>
        <w:t xml:space="preserve"> </w:t>
      </w:r>
      <w:r w:rsidR="004D3F88">
        <w:rPr>
          <w:rFonts w:eastAsiaTheme="minorEastAsia"/>
          <w:lang w:eastAsia="fr-FR" w:bidi="ar-SA"/>
        </w:rPr>
        <w:t>rubrique Mes groupes de travail</w:t>
      </w:r>
    </w:p>
    <w:p w14:paraId="02B80F50" w14:textId="77777777" w:rsidR="00D8213C" w:rsidRPr="00C200AE" w:rsidRDefault="00D8213C" w:rsidP="00C200AE">
      <w:pPr>
        <w:rPr>
          <w:rFonts w:eastAsiaTheme="minorEastAsia"/>
          <w:lang w:eastAsia="fr-FR" w:bidi="ar-SA"/>
        </w:rPr>
      </w:pPr>
    </w:p>
    <w:sectPr w:rsidR="00D8213C" w:rsidRPr="00C200AE" w:rsidSect="009B291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301A" w14:textId="77777777" w:rsidR="007762DD" w:rsidRDefault="007762DD" w:rsidP="007257EA">
      <w:r>
        <w:separator/>
      </w:r>
    </w:p>
  </w:endnote>
  <w:endnote w:type="continuationSeparator" w:id="0">
    <w:p w14:paraId="7C5D6539" w14:textId="77777777" w:rsidR="007762DD" w:rsidRDefault="007762DD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30359613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9831F0">
      <w:rPr>
        <w:rStyle w:val="Numrodepage"/>
        <w:rFonts w:cs="Calibri"/>
        <w:b/>
        <w:sz w:val="18"/>
      </w:rPr>
      <w:t>11</w:t>
    </w:r>
    <w:r w:rsidR="00BB5E79">
      <w:rPr>
        <w:rStyle w:val="Numrodepage"/>
        <w:rFonts w:cs="Calibri"/>
        <w:b/>
        <w:sz w:val="18"/>
      </w:rPr>
      <w:t>/01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A0E4" w14:textId="77777777" w:rsidR="007762DD" w:rsidRDefault="007762DD" w:rsidP="007257EA">
      <w:r>
        <w:separator/>
      </w:r>
    </w:p>
  </w:footnote>
  <w:footnote w:type="continuationSeparator" w:id="0">
    <w:p w14:paraId="28A0BFBC" w14:textId="77777777" w:rsidR="007762DD" w:rsidRDefault="007762DD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40B" w14:textId="34554133" w:rsidR="004F2EF5" w:rsidRDefault="00D2406F">
    <w:pPr>
      <w:pStyle w:val="En-tte"/>
    </w:pPr>
    <w:r>
      <w:rPr>
        <w:noProof/>
      </w:rPr>
      <w:pict w14:anchorId="2853D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66251" o:spid="_x0000_s1026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B578581" w:rsidR="006D4476" w:rsidRDefault="00D2406F" w:rsidP="007257EA">
    <w:pPr>
      <w:pStyle w:val="En-tte"/>
    </w:pPr>
    <w:r>
      <w:rPr>
        <w:noProof/>
      </w:rPr>
      <w:pict w14:anchorId="795BA1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66252" o:spid="_x0000_s1027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9156" w14:textId="6C4062D9" w:rsidR="004F2EF5" w:rsidRDefault="00D2406F">
    <w:pPr>
      <w:pStyle w:val="En-tte"/>
    </w:pPr>
    <w:r>
      <w:rPr>
        <w:noProof/>
      </w:rPr>
      <w:pict w14:anchorId="14145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66250" o:spid="_x0000_s1025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72C16"/>
    <w:multiLevelType w:val="hybridMultilevel"/>
    <w:tmpl w:val="316A0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38F4"/>
    <w:rsid w:val="00015B40"/>
    <w:rsid w:val="00015D51"/>
    <w:rsid w:val="000162AB"/>
    <w:rsid w:val="0001643F"/>
    <w:rsid w:val="00017FFC"/>
    <w:rsid w:val="00025B36"/>
    <w:rsid w:val="0002676F"/>
    <w:rsid w:val="00033138"/>
    <w:rsid w:val="000334EC"/>
    <w:rsid w:val="00033664"/>
    <w:rsid w:val="00035240"/>
    <w:rsid w:val="000364B2"/>
    <w:rsid w:val="00040D01"/>
    <w:rsid w:val="00040E4E"/>
    <w:rsid w:val="0004158E"/>
    <w:rsid w:val="00042B5B"/>
    <w:rsid w:val="00043C2E"/>
    <w:rsid w:val="00047808"/>
    <w:rsid w:val="00047DC7"/>
    <w:rsid w:val="00051094"/>
    <w:rsid w:val="0005158B"/>
    <w:rsid w:val="00054AF8"/>
    <w:rsid w:val="00061F92"/>
    <w:rsid w:val="000621C3"/>
    <w:rsid w:val="000642A3"/>
    <w:rsid w:val="00065713"/>
    <w:rsid w:val="00065A89"/>
    <w:rsid w:val="00066BD8"/>
    <w:rsid w:val="0006737B"/>
    <w:rsid w:val="00071BBF"/>
    <w:rsid w:val="00073886"/>
    <w:rsid w:val="00074650"/>
    <w:rsid w:val="00074E5A"/>
    <w:rsid w:val="00075F42"/>
    <w:rsid w:val="00076EEF"/>
    <w:rsid w:val="000801BD"/>
    <w:rsid w:val="000808E1"/>
    <w:rsid w:val="000815C6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56D7"/>
    <w:rsid w:val="00095BF2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7A22"/>
    <w:rsid w:val="000C1AC9"/>
    <w:rsid w:val="000C2D9F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68DF"/>
    <w:rsid w:val="000E711F"/>
    <w:rsid w:val="000E7FA1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7141"/>
    <w:rsid w:val="00107B32"/>
    <w:rsid w:val="00111B5F"/>
    <w:rsid w:val="00112338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78CC"/>
    <w:rsid w:val="00131EE6"/>
    <w:rsid w:val="0013285A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F59"/>
    <w:rsid w:val="001544DB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1585"/>
    <w:rsid w:val="001725C2"/>
    <w:rsid w:val="001739F2"/>
    <w:rsid w:val="00176543"/>
    <w:rsid w:val="0018089B"/>
    <w:rsid w:val="00181A0A"/>
    <w:rsid w:val="00181F4F"/>
    <w:rsid w:val="00182495"/>
    <w:rsid w:val="00183BAE"/>
    <w:rsid w:val="00184304"/>
    <w:rsid w:val="001858E6"/>
    <w:rsid w:val="001858EC"/>
    <w:rsid w:val="00185E9E"/>
    <w:rsid w:val="00187309"/>
    <w:rsid w:val="00190D31"/>
    <w:rsid w:val="00190FE7"/>
    <w:rsid w:val="00191ECC"/>
    <w:rsid w:val="00192301"/>
    <w:rsid w:val="001A065E"/>
    <w:rsid w:val="001A0855"/>
    <w:rsid w:val="001A170E"/>
    <w:rsid w:val="001A1EA0"/>
    <w:rsid w:val="001A29FA"/>
    <w:rsid w:val="001A377B"/>
    <w:rsid w:val="001B2C63"/>
    <w:rsid w:val="001B6AE7"/>
    <w:rsid w:val="001C0F49"/>
    <w:rsid w:val="001C2B89"/>
    <w:rsid w:val="001C68E0"/>
    <w:rsid w:val="001C6D0E"/>
    <w:rsid w:val="001C79A4"/>
    <w:rsid w:val="001C7E48"/>
    <w:rsid w:val="001D4122"/>
    <w:rsid w:val="001D600E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1F6B5F"/>
    <w:rsid w:val="00200F17"/>
    <w:rsid w:val="002020F3"/>
    <w:rsid w:val="002036E7"/>
    <w:rsid w:val="0020736E"/>
    <w:rsid w:val="00210E98"/>
    <w:rsid w:val="00211B83"/>
    <w:rsid w:val="00212FBE"/>
    <w:rsid w:val="002154D0"/>
    <w:rsid w:val="00216817"/>
    <w:rsid w:val="00220C22"/>
    <w:rsid w:val="00220E7A"/>
    <w:rsid w:val="00222A1B"/>
    <w:rsid w:val="00223540"/>
    <w:rsid w:val="00224DFF"/>
    <w:rsid w:val="00226F71"/>
    <w:rsid w:val="002276F3"/>
    <w:rsid w:val="00232E3A"/>
    <w:rsid w:val="00243156"/>
    <w:rsid w:val="00243FCA"/>
    <w:rsid w:val="00244240"/>
    <w:rsid w:val="00244854"/>
    <w:rsid w:val="00246914"/>
    <w:rsid w:val="00246964"/>
    <w:rsid w:val="0024709D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240A"/>
    <w:rsid w:val="0028269C"/>
    <w:rsid w:val="002827B3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7398"/>
    <w:rsid w:val="002A1950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4848"/>
    <w:rsid w:val="002B50C2"/>
    <w:rsid w:val="002C078C"/>
    <w:rsid w:val="002C11ED"/>
    <w:rsid w:val="002C210C"/>
    <w:rsid w:val="002C2270"/>
    <w:rsid w:val="002C371A"/>
    <w:rsid w:val="002C3D27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41E2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7F6B"/>
    <w:rsid w:val="0030090A"/>
    <w:rsid w:val="00301531"/>
    <w:rsid w:val="003028D0"/>
    <w:rsid w:val="003030DF"/>
    <w:rsid w:val="00305187"/>
    <w:rsid w:val="00306D86"/>
    <w:rsid w:val="0031228E"/>
    <w:rsid w:val="003142F9"/>
    <w:rsid w:val="003167ED"/>
    <w:rsid w:val="003176B5"/>
    <w:rsid w:val="00317C52"/>
    <w:rsid w:val="003205A5"/>
    <w:rsid w:val="0032245F"/>
    <w:rsid w:val="003238E3"/>
    <w:rsid w:val="00323AE1"/>
    <w:rsid w:val="00327492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591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600CD"/>
    <w:rsid w:val="0036145D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838D4"/>
    <w:rsid w:val="0038605C"/>
    <w:rsid w:val="00386064"/>
    <w:rsid w:val="003901E9"/>
    <w:rsid w:val="00390227"/>
    <w:rsid w:val="00390348"/>
    <w:rsid w:val="003910D7"/>
    <w:rsid w:val="00391118"/>
    <w:rsid w:val="00392C77"/>
    <w:rsid w:val="00393212"/>
    <w:rsid w:val="00393778"/>
    <w:rsid w:val="00396485"/>
    <w:rsid w:val="003967B2"/>
    <w:rsid w:val="00397010"/>
    <w:rsid w:val="00397405"/>
    <w:rsid w:val="003A0ED9"/>
    <w:rsid w:val="003A3AE5"/>
    <w:rsid w:val="003A449D"/>
    <w:rsid w:val="003A6E94"/>
    <w:rsid w:val="003B3054"/>
    <w:rsid w:val="003B32CA"/>
    <w:rsid w:val="003B4622"/>
    <w:rsid w:val="003B57AA"/>
    <w:rsid w:val="003B6B0E"/>
    <w:rsid w:val="003B7AA4"/>
    <w:rsid w:val="003C07BB"/>
    <w:rsid w:val="003C155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62D3"/>
    <w:rsid w:val="003E726D"/>
    <w:rsid w:val="003E7576"/>
    <w:rsid w:val="003F0B29"/>
    <w:rsid w:val="003F19EA"/>
    <w:rsid w:val="003F2BFB"/>
    <w:rsid w:val="003F2DAB"/>
    <w:rsid w:val="003F3658"/>
    <w:rsid w:val="003F4AEC"/>
    <w:rsid w:val="00400AE8"/>
    <w:rsid w:val="00403F0F"/>
    <w:rsid w:val="004042A5"/>
    <w:rsid w:val="00406162"/>
    <w:rsid w:val="00410828"/>
    <w:rsid w:val="00415BA5"/>
    <w:rsid w:val="00416BC1"/>
    <w:rsid w:val="0042272E"/>
    <w:rsid w:val="004242A1"/>
    <w:rsid w:val="0042431D"/>
    <w:rsid w:val="00424C1A"/>
    <w:rsid w:val="00426F86"/>
    <w:rsid w:val="004270F4"/>
    <w:rsid w:val="0043120E"/>
    <w:rsid w:val="004340E2"/>
    <w:rsid w:val="00436C3B"/>
    <w:rsid w:val="004408A6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66F8"/>
    <w:rsid w:val="00467467"/>
    <w:rsid w:val="004675E1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1EFC"/>
    <w:rsid w:val="004A2F3D"/>
    <w:rsid w:val="004A3205"/>
    <w:rsid w:val="004A532F"/>
    <w:rsid w:val="004A70DD"/>
    <w:rsid w:val="004A768B"/>
    <w:rsid w:val="004B3034"/>
    <w:rsid w:val="004C0074"/>
    <w:rsid w:val="004C302E"/>
    <w:rsid w:val="004C69C7"/>
    <w:rsid w:val="004C7B50"/>
    <w:rsid w:val="004D1014"/>
    <w:rsid w:val="004D3F88"/>
    <w:rsid w:val="004D6FDD"/>
    <w:rsid w:val="004D7B13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580C"/>
    <w:rsid w:val="0051654D"/>
    <w:rsid w:val="00516C84"/>
    <w:rsid w:val="00516DC2"/>
    <w:rsid w:val="00517FD5"/>
    <w:rsid w:val="00520351"/>
    <w:rsid w:val="005207B0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641F"/>
    <w:rsid w:val="0054778A"/>
    <w:rsid w:val="00547CF6"/>
    <w:rsid w:val="00550F07"/>
    <w:rsid w:val="005518F4"/>
    <w:rsid w:val="00551F59"/>
    <w:rsid w:val="00552B23"/>
    <w:rsid w:val="005531D6"/>
    <w:rsid w:val="005545AC"/>
    <w:rsid w:val="00554681"/>
    <w:rsid w:val="005548DA"/>
    <w:rsid w:val="00554A83"/>
    <w:rsid w:val="00555275"/>
    <w:rsid w:val="00557016"/>
    <w:rsid w:val="00561E34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7057"/>
    <w:rsid w:val="0058050B"/>
    <w:rsid w:val="00584F55"/>
    <w:rsid w:val="005851C0"/>
    <w:rsid w:val="00586DCD"/>
    <w:rsid w:val="00591B23"/>
    <w:rsid w:val="00597CC5"/>
    <w:rsid w:val="005A13EE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CAA"/>
    <w:rsid w:val="005F2370"/>
    <w:rsid w:val="005F2F8F"/>
    <w:rsid w:val="005F3215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31AE8"/>
    <w:rsid w:val="00632303"/>
    <w:rsid w:val="0063327E"/>
    <w:rsid w:val="00634848"/>
    <w:rsid w:val="006359F2"/>
    <w:rsid w:val="006410CE"/>
    <w:rsid w:val="006436CD"/>
    <w:rsid w:val="00644D3D"/>
    <w:rsid w:val="00644DDD"/>
    <w:rsid w:val="00644E51"/>
    <w:rsid w:val="006460DE"/>
    <w:rsid w:val="0064678B"/>
    <w:rsid w:val="006473BD"/>
    <w:rsid w:val="00647455"/>
    <w:rsid w:val="00647E62"/>
    <w:rsid w:val="00650319"/>
    <w:rsid w:val="0065527C"/>
    <w:rsid w:val="00655FDD"/>
    <w:rsid w:val="00662054"/>
    <w:rsid w:val="00664B3C"/>
    <w:rsid w:val="00665F03"/>
    <w:rsid w:val="00666650"/>
    <w:rsid w:val="00672FE6"/>
    <w:rsid w:val="00672FF8"/>
    <w:rsid w:val="0067398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7E50"/>
    <w:rsid w:val="006B1073"/>
    <w:rsid w:val="006B3BD5"/>
    <w:rsid w:val="006B4C66"/>
    <w:rsid w:val="006B521C"/>
    <w:rsid w:val="006B570E"/>
    <w:rsid w:val="006B5A22"/>
    <w:rsid w:val="006C0FCA"/>
    <w:rsid w:val="006C1ABC"/>
    <w:rsid w:val="006C3948"/>
    <w:rsid w:val="006C4FEA"/>
    <w:rsid w:val="006C6469"/>
    <w:rsid w:val="006C6AC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3F59"/>
    <w:rsid w:val="006F5F38"/>
    <w:rsid w:val="006F74B4"/>
    <w:rsid w:val="006F7C47"/>
    <w:rsid w:val="006F7FC0"/>
    <w:rsid w:val="00700A94"/>
    <w:rsid w:val="00703C2F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C86"/>
    <w:rsid w:val="00720035"/>
    <w:rsid w:val="00720419"/>
    <w:rsid w:val="0072298E"/>
    <w:rsid w:val="007238A8"/>
    <w:rsid w:val="007243A6"/>
    <w:rsid w:val="007257EA"/>
    <w:rsid w:val="007304AB"/>
    <w:rsid w:val="007318A6"/>
    <w:rsid w:val="00733F7E"/>
    <w:rsid w:val="00734693"/>
    <w:rsid w:val="00734A05"/>
    <w:rsid w:val="00735583"/>
    <w:rsid w:val="00735DBA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60B5E"/>
    <w:rsid w:val="00760E5B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EB2"/>
    <w:rsid w:val="0077739E"/>
    <w:rsid w:val="0077762A"/>
    <w:rsid w:val="00780918"/>
    <w:rsid w:val="007818F6"/>
    <w:rsid w:val="00783DE2"/>
    <w:rsid w:val="007843E9"/>
    <w:rsid w:val="00784C83"/>
    <w:rsid w:val="00784F4F"/>
    <w:rsid w:val="007852C2"/>
    <w:rsid w:val="00786405"/>
    <w:rsid w:val="00786F7B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348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50E7"/>
    <w:rsid w:val="007C52F7"/>
    <w:rsid w:val="007D0C19"/>
    <w:rsid w:val="007D0FD8"/>
    <w:rsid w:val="007D355F"/>
    <w:rsid w:val="007D3F26"/>
    <w:rsid w:val="007D66ED"/>
    <w:rsid w:val="007E031B"/>
    <w:rsid w:val="007E0FF4"/>
    <w:rsid w:val="007F0051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29F0"/>
    <w:rsid w:val="0080348E"/>
    <w:rsid w:val="008034FD"/>
    <w:rsid w:val="00804C54"/>
    <w:rsid w:val="00807277"/>
    <w:rsid w:val="00812424"/>
    <w:rsid w:val="008124CD"/>
    <w:rsid w:val="00816007"/>
    <w:rsid w:val="008160FA"/>
    <w:rsid w:val="0081666B"/>
    <w:rsid w:val="00816729"/>
    <w:rsid w:val="00817674"/>
    <w:rsid w:val="008227E0"/>
    <w:rsid w:val="00824420"/>
    <w:rsid w:val="00824E34"/>
    <w:rsid w:val="0082775A"/>
    <w:rsid w:val="00831FCC"/>
    <w:rsid w:val="0083352B"/>
    <w:rsid w:val="00833EB3"/>
    <w:rsid w:val="00834545"/>
    <w:rsid w:val="00835619"/>
    <w:rsid w:val="0083714D"/>
    <w:rsid w:val="008414A6"/>
    <w:rsid w:val="008418F8"/>
    <w:rsid w:val="00842D5F"/>
    <w:rsid w:val="00845549"/>
    <w:rsid w:val="00847920"/>
    <w:rsid w:val="00847A0E"/>
    <w:rsid w:val="00847DF6"/>
    <w:rsid w:val="00850C48"/>
    <w:rsid w:val="008510FA"/>
    <w:rsid w:val="00851243"/>
    <w:rsid w:val="00851714"/>
    <w:rsid w:val="008518D4"/>
    <w:rsid w:val="00853027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785"/>
    <w:rsid w:val="00890807"/>
    <w:rsid w:val="00892CA5"/>
    <w:rsid w:val="00892D1D"/>
    <w:rsid w:val="00893BD0"/>
    <w:rsid w:val="00895BB9"/>
    <w:rsid w:val="00896382"/>
    <w:rsid w:val="0089736D"/>
    <w:rsid w:val="008A193E"/>
    <w:rsid w:val="008A3650"/>
    <w:rsid w:val="008A4C60"/>
    <w:rsid w:val="008A572F"/>
    <w:rsid w:val="008A719C"/>
    <w:rsid w:val="008B1EF6"/>
    <w:rsid w:val="008B282F"/>
    <w:rsid w:val="008B3E97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48A1"/>
    <w:rsid w:val="008E533C"/>
    <w:rsid w:val="008E5FCA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1046F"/>
    <w:rsid w:val="00911758"/>
    <w:rsid w:val="009133FC"/>
    <w:rsid w:val="00914C1E"/>
    <w:rsid w:val="009159C2"/>
    <w:rsid w:val="009173E6"/>
    <w:rsid w:val="00917D19"/>
    <w:rsid w:val="009225EE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F96"/>
    <w:rsid w:val="009605CD"/>
    <w:rsid w:val="0096235C"/>
    <w:rsid w:val="00962E24"/>
    <w:rsid w:val="009641FF"/>
    <w:rsid w:val="009661D3"/>
    <w:rsid w:val="009716F7"/>
    <w:rsid w:val="00971911"/>
    <w:rsid w:val="00971F6E"/>
    <w:rsid w:val="00975479"/>
    <w:rsid w:val="00976441"/>
    <w:rsid w:val="00977382"/>
    <w:rsid w:val="009775FB"/>
    <w:rsid w:val="0098219D"/>
    <w:rsid w:val="009831F0"/>
    <w:rsid w:val="00983BC5"/>
    <w:rsid w:val="00983F58"/>
    <w:rsid w:val="0098459E"/>
    <w:rsid w:val="009863C6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0BC"/>
    <w:rsid w:val="009A56BD"/>
    <w:rsid w:val="009A720A"/>
    <w:rsid w:val="009B12AF"/>
    <w:rsid w:val="009B2912"/>
    <w:rsid w:val="009B420B"/>
    <w:rsid w:val="009B5247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345C"/>
    <w:rsid w:val="009E3A56"/>
    <w:rsid w:val="009E4D52"/>
    <w:rsid w:val="009E76DB"/>
    <w:rsid w:val="009F2307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2954"/>
    <w:rsid w:val="00A34183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6432D"/>
    <w:rsid w:val="00A65671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16DA"/>
    <w:rsid w:val="00AA2AD8"/>
    <w:rsid w:val="00AA30F1"/>
    <w:rsid w:val="00AA4950"/>
    <w:rsid w:val="00AA645D"/>
    <w:rsid w:val="00AA6EBF"/>
    <w:rsid w:val="00AA72F0"/>
    <w:rsid w:val="00AA7DE8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321B4"/>
    <w:rsid w:val="00B337D0"/>
    <w:rsid w:val="00B34414"/>
    <w:rsid w:val="00B34B89"/>
    <w:rsid w:val="00B34C44"/>
    <w:rsid w:val="00B40239"/>
    <w:rsid w:val="00B41487"/>
    <w:rsid w:val="00B474E9"/>
    <w:rsid w:val="00B51065"/>
    <w:rsid w:val="00B511D1"/>
    <w:rsid w:val="00B5231A"/>
    <w:rsid w:val="00B52850"/>
    <w:rsid w:val="00B53512"/>
    <w:rsid w:val="00B53866"/>
    <w:rsid w:val="00B543B4"/>
    <w:rsid w:val="00B54907"/>
    <w:rsid w:val="00B55899"/>
    <w:rsid w:val="00B56599"/>
    <w:rsid w:val="00B56D55"/>
    <w:rsid w:val="00B57C97"/>
    <w:rsid w:val="00B60CF0"/>
    <w:rsid w:val="00B636A4"/>
    <w:rsid w:val="00B636C6"/>
    <w:rsid w:val="00B675B0"/>
    <w:rsid w:val="00B70C61"/>
    <w:rsid w:val="00B71F9C"/>
    <w:rsid w:val="00B72916"/>
    <w:rsid w:val="00B73DF3"/>
    <w:rsid w:val="00B75005"/>
    <w:rsid w:val="00B76E29"/>
    <w:rsid w:val="00B7741B"/>
    <w:rsid w:val="00B80492"/>
    <w:rsid w:val="00B8179B"/>
    <w:rsid w:val="00B821F9"/>
    <w:rsid w:val="00B837F8"/>
    <w:rsid w:val="00B83D2D"/>
    <w:rsid w:val="00B8480C"/>
    <w:rsid w:val="00B855FA"/>
    <w:rsid w:val="00B8590E"/>
    <w:rsid w:val="00B90E76"/>
    <w:rsid w:val="00B932A1"/>
    <w:rsid w:val="00B94E33"/>
    <w:rsid w:val="00B95F1E"/>
    <w:rsid w:val="00B9637E"/>
    <w:rsid w:val="00B979D0"/>
    <w:rsid w:val="00BA01B0"/>
    <w:rsid w:val="00BA2A8C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6ADB"/>
    <w:rsid w:val="00BD769D"/>
    <w:rsid w:val="00BE0377"/>
    <w:rsid w:val="00BE4752"/>
    <w:rsid w:val="00BE4CA2"/>
    <w:rsid w:val="00BE4CF9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323C"/>
    <w:rsid w:val="00C2365E"/>
    <w:rsid w:val="00C23FFF"/>
    <w:rsid w:val="00C265E8"/>
    <w:rsid w:val="00C274E3"/>
    <w:rsid w:val="00C27A78"/>
    <w:rsid w:val="00C34F71"/>
    <w:rsid w:val="00C4063E"/>
    <w:rsid w:val="00C417C0"/>
    <w:rsid w:val="00C41BEC"/>
    <w:rsid w:val="00C4356E"/>
    <w:rsid w:val="00C44DBA"/>
    <w:rsid w:val="00C51835"/>
    <w:rsid w:val="00C51C31"/>
    <w:rsid w:val="00C521A5"/>
    <w:rsid w:val="00C52747"/>
    <w:rsid w:val="00C534AB"/>
    <w:rsid w:val="00C545D9"/>
    <w:rsid w:val="00C54612"/>
    <w:rsid w:val="00C54700"/>
    <w:rsid w:val="00C62A42"/>
    <w:rsid w:val="00C62BD2"/>
    <w:rsid w:val="00C62EB8"/>
    <w:rsid w:val="00C6488E"/>
    <w:rsid w:val="00C6594F"/>
    <w:rsid w:val="00C672AE"/>
    <w:rsid w:val="00C710E7"/>
    <w:rsid w:val="00C75272"/>
    <w:rsid w:val="00C765BF"/>
    <w:rsid w:val="00C80836"/>
    <w:rsid w:val="00C82F9D"/>
    <w:rsid w:val="00C83A4E"/>
    <w:rsid w:val="00C84476"/>
    <w:rsid w:val="00C85D62"/>
    <w:rsid w:val="00C924F5"/>
    <w:rsid w:val="00C928C2"/>
    <w:rsid w:val="00C933AC"/>
    <w:rsid w:val="00CA1303"/>
    <w:rsid w:val="00CA1C0A"/>
    <w:rsid w:val="00CA1E1A"/>
    <w:rsid w:val="00CA47D5"/>
    <w:rsid w:val="00CA4CA7"/>
    <w:rsid w:val="00CA5FC5"/>
    <w:rsid w:val="00CA7D0B"/>
    <w:rsid w:val="00CB0D3B"/>
    <w:rsid w:val="00CB20BC"/>
    <w:rsid w:val="00CB4A25"/>
    <w:rsid w:val="00CB4AEB"/>
    <w:rsid w:val="00CB585D"/>
    <w:rsid w:val="00CC105E"/>
    <w:rsid w:val="00CC23C0"/>
    <w:rsid w:val="00CC33B5"/>
    <w:rsid w:val="00CC391C"/>
    <w:rsid w:val="00CC44BC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E0362"/>
    <w:rsid w:val="00CE1505"/>
    <w:rsid w:val="00CE5017"/>
    <w:rsid w:val="00CE688A"/>
    <w:rsid w:val="00CE6A70"/>
    <w:rsid w:val="00CE7821"/>
    <w:rsid w:val="00CF0D15"/>
    <w:rsid w:val="00CF5AEF"/>
    <w:rsid w:val="00CF6DCD"/>
    <w:rsid w:val="00CF7495"/>
    <w:rsid w:val="00D038D0"/>
    <w:rsid w:val="00D04AB5"/>
    <w:rsid w:val="00D0609D"/>
    <w:rsid w:val="00D0654E"/>
    <w:rsid w:val="00D07A15"/>
    <w:rsid w:val="00D07FAB"/>
    <w:rsid w:val="00D10124"/>
    <w:rsid w:val="00D1026D"/>
    <w:rsid w:val="00D14F31"/>
    <w:rsid w:val="00D150E5"/>
    <w:rsid w:val="00D159AF"/>
    <w:rsid w:val="00D15F38"/>
    <w:rsid w:val="00D16004"/>
    <w:rsid w:val="00D160D7"/>
    <w:rsid w:val="00D20AA6"/>
    <w:rsid w:val="00D2131A"/>
    <w:rsid w:val="00D2184C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3255"/>
    <w:rsid w:val="00D43ECF"/>
    <w:rsid w:val="00D45C87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323A"/>
    <w:rsid w:val="00D63F3A"/>
    <w:rsid w:val="00D6572B"/>
    <w:rsid w:val="00D65990"/>
    <w:rsid w:val="00D65DF4"/>
    <w:rsid w:val="00D66160"/>
    <w:rsid w:val="00D67FCA"/>
    <w:rsid w:val="00D67FD4"/>
    <w:rsid w:val="00D701F5"/>
    <w:rsid w:val="00D70679"/>
    <w:rsid w:val="00D70B39"/>
    <w:rsid w:val="00D70B74"/>
    <w:rsid w:val="00D71CF5"/>
    <w:rsid w:val="00D726CD"/>
    <w:rsid w:val="00D739A3"/>
    <w:rsid w:val="00D764B7"/>
    <w:rsid w:val="00D76E46"/>
    <w:rsid w:val="00D805CF"/>
    <w:rsid w:val="00D81289"/>
    <w:rsid w:val="00D81B5C"/>
    <w:rsid w:val="00D8213C"/>
    <w:rsid w:val="00D82665"/>
    <w:rsid w:val="00D866B6"/>
    <w:rsid w:val="00D9097D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A85"/>
    <w:rsid w:val="00DC028C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12AD"/>
    <w:rsid w:val="00DE2858"/>
    <w:rsid w:val="00DE441C"/>
    <w:rsid w:val="00DE518F"/>
    <w:rsid w:val="00DF15E6"/>
    <w:rsid w:val="00DF42D6"/>
    <w:rsid w:val="00DF52BA"/>
    <w:rsid w:val="00DF5D86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E4A"/>
    <w:rsid w:val="00E228D0"/>
    <w:rsid w:val="00E26074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208C"/>
    <w:rsid w:val="00E427EA"/>
    <w:rsid w:val="00E42C8F"/>
    <w:rsid w:val="00E43AFD"/>
    <w:rsid w:val="00E45518"/>
    <w:rsid w:val="00E46A30"/>
    <w:rsid w:val="00E46E0F"/>
    <w:rsid w:val="00E53B38"/>
    <w:rsid w:val="00E57B08"/>
    <w:rsid w:val="00E60877"/>
    <w:rsid w:val="00E61004"/>
    <w:rsid w:val="00E6155F"/>
    <w:rsid w:val="00E62F41"/>
    <w:rsid w:val="00E640FB"/>
    <w:rsid w:val="00E64270"/>
    <w:rsid w:val="00E64E16"/>
    <w:rsid w:val="00E65CE8"/>
    <w:rsid w:val="00E71228"/>
    <w:rsid w:val="00E71F91"/>
    <w:rsid w:val="00E7219F"/>
    <w:rsid w:val="00E74444"/>
    <w:rsid w:val="00E76B8E"/>
    <w:rsid w:val="00E817F9"/>
    <w:rsid w:val="00E81D8D"/>
    <w:rsid w:val="00E83CD3"/>
    <w:rsid w:val="00E84DBE"/>
    <w:rsid w:val="00E91612"/>
    <w:rsid w:val="00E92A12"/>
    <w:rsid w:val="00E947A2"/>
    <w:rsid w:val="00E97639"/>
    <w:rsid w:val="00EA10B0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D0CFF"/>
    <w:rsid w:val="00ED26C3"/>
    <w:rsid w:val="00ED4289"/>
    <w:rsid w:val="00ED4FCA"/>
    <w:rsid w:val="00ED68B0"/>
    <w:rsid w:val="00ED7BA1"/>
    <w:rsid w:val="00EE0946"/>
    <w:rsid w:val="00EE0F11"/>
    <w:rsid w:val="00EE1018"/>
    <w:rsid w:val="00EE3358"/>
    <w:rsid w:val="00EE76EC"/>
    <w:rsid w:val="00EE7AF6"/>
    <w:rsid w:val="00EF1D4B"/>
    <w:rsid w:val="00EF2305"/>
    <w:rsid w:val="00EF234E"/>
    <w:rsid w:val="00EF4C0F"/>
    <w:rsid w:val="00EF5F97"/>
    <w:rsid w:val="00EF6A7E"/>
    <w:rsid w:val="00EF7C5E"/>
    <w:rsid w:val="00F00D5D"/>
    <w:rsid w:val="00F010BF"/>
    <w:rsid w:val="00F03926"/>
    <w:rsid w:val="00F04516"/>
    <w:rsid w:val="00F049EE"/>
    <w:rsid w:val="00F0793D"/>
    <w:rsid w:val="00F109DD"/>
    <w:rsid w:val="00F10A85"/>
    <w:rsid w:val="00F1119F"/>
    <w:rsid w:val="00F1144A"/>
    <w:rsid w:val="00F1155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68A2"/>
    <w:rsid w:val="00F27BD0"/>
    <w:rsid w:val="00F27D4B"/>
    <w:rsid w:val="00F313EE"/>
    <w:rsid w:val="00F32290"/>
    <w:rsid w:val="00F33D2D"/>
    <w:rsid w:val="00F3463A"/>
    <w:rsid w:val="00F34790"/>
    <w:rsid w:val="00F36FA6"/>
    <w:rsid w:val="00F41B96"/>
    <w:rsid w:val="00F45900"/>
    <w:rsid w:val="00F46A69"/>
    <w:rsid w:val="00F46EB9"/>
    <w:rsid w:val="00F4736D"/>
    <w:rsid w:val="00F5138B"/>
    <w:rsid w:val="00F526DE"/>
    <w:rsid w:val="00F53A57"/>
    <w:rsid w:val="00F60D3C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EB0"/>
    <w:rsid w:val="00F836C6"/>
    <w:rsid w:val="00F83F9C"/>
    <w:rsid w:val="00F905C2"/>
    <w:rsid w:val="00F92F9E"/>
    <w:rsid w:val="00F95630"/>
    <w:rsid w:val="00F95AD9"/>
    <w:rsid w:val="00FA240E"/>
    <w:rsid w:val="00FA2CF8"/>
    <w:rsid w:val="00FA3330"/>
    <w:rsid w:val="00FB0BE1"/>
    <w:rsid w:val="00FB2105"/>
    <w:rsid w:val="00FB23D7"/>
    <w:rsid w:val="00FB7004"/>
    <w:rsid w:val="00FC158A"/>
    <w:rsid w:val="00FC3489"/>
    <w:rsid w:val="00FC57EA"/>
    <w:rsid w:val="00FC588A"/>
    <w:rsid w:val="00FD142E"/>
    <w:rsid w:val="00FD1C51"/>
    <w:rsid w:val="00FD39DF"/>
    <w:rsid w:val="00FD4127"/>
    <w:rsid w:val="00FD740D"/>
    <w:rsid w:val="00FE02CB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60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2E9A-437B-4E98-94FC-308C0D2CF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1376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8931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126</cp:revision>
  <cp:lastPrinted>2016-06-28T10:18:00Z</cp:lastPrinted>
  <dcterms:created xsi:type="dcterms:W3CDTF">2022-02-08T16:59:00Z</dcterms:created>
  <dcterms:modified xsi:type="dcterms:W3CDTF">2022-02-09T17:19:00Z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